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192" w:lineRule="auto"/>
        <w:ind w:left="0" w:leftChars="0" w:right="0" w:rightChars="0" w:firstLine="0" w:firstLineChars="0"/>
        <w:jc w:val="both"/>
        <w:textAlignment w:val="auto"/>
        <w:outlineLvl w:val="1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附件2：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192" w:lineRule="auto"/>
        <w:ind w:left="0" w:leftChars="0" w:right="0" w:rightChars="0" w:firstLine="0" w:firstLineChars="0"/>
        <w:jc w:val="center"/>
        <w:textAlignment w:val="auto"/>
        <w:outlineLvl w:val="1"/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  <w:t>公路养护工程结算审计服务综合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192" w:lineRule="auto"/>
        <w:ind w:left="0" w:leftChars="0" w:right="0" w:rightChars="0" w:firstLine="0" w:firstLineChars="0"/>
        <w:jc w:val="center"/>
        <w:textAlignment w:val="auto"/>
        <w:outlineLvl w:val="1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  <w:t>评分办法</w:t>
      </w:r>
    </w:p>
    <w:p>
      <w:pPr>
        <w:pStyle w:val="3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一、适用范围及评标原则</w:t>
      </w:r>
    </w:p>
    <w:p>
      <w:pPr>
        <w:pStyle w:val="19"/>
        <w:ind w:firstLine="64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本办法适用于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国省干线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公路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新改建、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日常养护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大中修养护工程结算审计服务采购项目。评标采用综合评分法，总分100分。坚持质量优先、合理低价、择优入围的原则，杜绝恶性低价中标，保障公路养护审计精准、合规、可控。所有评分项缺材料、无证明、不响应的，该项计0分；所有扣分项均扣完本项为止，不负分。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二、分值结构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</w:p>
    <w:p>
      <w:pPr>
        <w:pStyle w:val="19"/>
        <w:numPr>
          <w:ilvl w:val="-1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投标报价：25分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技术方案及服务能力：55分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企业资信、业绩及信用：20分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合计：100分</w:t>
      </w:r>
    </w:p>
    <w:p>
      <w:pPr>
        <w:pStyle w:val="19"/>
        <w:numPr>
          <w:ilvl w:val="0"/>
          <w:numId w:val="1"/>
        </w:numP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详细评分标准</w:t>
      </w:r>
    </w:p>
    <w:p>
      <w:pPr>
        <w:pStyle w:val="19"/>
        <w:numPr>
          <w:ilvl w:val="0"/>
          <w:numId w:val="0"/>
        </w:numP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投标报价（25分）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评标基准价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有效投标人报价去掉最高、最低各一家后取算术平均值为基准价；不足五家直接取全部有效报价平均值。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计分规则</w:t>
      </w:r>
    </w:p>
    <w:p>
      <w:pPr>
        <w:pStyle w:val="19"/>
        <w:numPr>
          <w:ilvl w:val="-1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报价等于基准价：得满分25分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高于基准价：每高1%扣0.4分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低于基准价：每低1%扣0.25分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不足1%按线性插值计算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否决条款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报价明显低于合理成本、存在恶性低价、可能影响审计质量的，评委会可直接作废标处理，本项0分。</w:t>
      </w:r>
    </w:p>
    <w:p>
      <w:pPr>
        <w:pStyle w:val="19"/>
        <w:numPr>
          <w:ilvl w:val="0"/>
          <w:numId w:val="2"/>
        </w:numP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技术方案与服务能力（55分）</w:t>
      </w:r>
    </w:p>
    <w:p>
      <w:pPr>
        <w:pStyle w:val="19"/>
        <w:numPr>
          <w:ilvl w:val="0"/>
          <w:numId w:val="0"/>
        </w:numP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1.项目审计总体实施方案（18分）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针对性强、思路清晰、重难点分析到位、审计流程完整、含养护工程专项审核要点：14–18分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方案完整、基本贴合项目：9–13分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方案通用、针对性一般：4–8分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内容简单、套用模板、无针对性：0–3分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2.项目团队人员配置（15分）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（1）项目负责人（8分）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具有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一级造价工程师（公路专业）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3年以上公路工程审计经验：8分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具有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一级造价工程师（公路专业），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3年以下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公路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审计经验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：4分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无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一级造价工程师（公路专业）和公路审计经验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：0分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（2）专职审计人员（7分）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配备2名及以上熟悉交通养护定额、结算审核的专业人员：7分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人员不足、专业不符酌情扣1–7分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3.审计质量控制及复核制度（12分）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具备完善的内部三级复核、质量追责、差错整改、廉政制度、资料管控：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制度齐全、流程闭环、贴合工程审计：9–12分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制度基本齐全：5–8分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制度简单：1–4分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无制度：0分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4.审计进度计划及保障措施（6分）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节点清晰、时限明确、错峰保障、加班兜底、按期出报告：0–6分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5.后期服务、答疑、对账、配合稽查（4分）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包含结算争议协调、主管部门核查配合、资料归档、质保服务：0–4分</w:t>
      </w:r>
    </w:p>
    <w:p>
      <w:pPr>
        <w:pStyle w:val="19"/>
        <w:numPr>
          <w:ilvl w:val="0"/>
          <w:numId w:val="2"/>
        </w:numPr>
        <w:ind w:left="0"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企业业绩、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备案、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信用实力（20分）</w:t>
      </w:r>
    </w:p>
    <w:p>
      <w:pPr>
        <w:pStyle w:val="19"/>
        <w:numPr>
          <w:ilvl w:val="0"/>
          <w:numId w:val="0"/>
        </w:numP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1.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近三年同类公路养护审计业绩（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分）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  具有国省干线公路新、改建工程、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公路养护、公路大中修、交通小型专项工程结算审计业绩每项有效业绩得3分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021年1月1日（以合同签订时间为准）以来，投标人具备以上工程项目的竣工结算审计（或审核）业绩 ，且单个合同中工程总预（概）算（或结（决）算金额）不少于500万元，每个业绩得 2分，满分 8分。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最高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分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提供：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合同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协议书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审计报告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工程结算定案表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。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2.企业备案 （4分）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投标人在全国工程造价咨询企业管理系统完成备案：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1. 具备甲级工程造价咨询备案的，得4分；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2. 具备乙级工程造价咨询备案的，得2分；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3. 未提供有效备案截图的，不得分。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  <w:t>提供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  <w:t>全国工程造价咨询企业管理系统有效备案截图，否则不予计分。本项最高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  <w:t>分。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.企业荣誉（4分）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市级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及以上审计、造价行业荣誉：每项2分，满分4分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提供：颁发单位的文件、荣誉证书扫描件。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.企业信用及履约情况（4分）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无失信、无政府采购不良记录、无行政处罚、无审计质量通报：4分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（附件1.无重大违法记录和无不良记录声明函，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法人签字并盖章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）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存在不良记录本项0分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四、综合评标排序规则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所有评委打分去掉一个最高分、一个最低分后取平均值为最终得分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得分高者优先中标。</w:t>
      </w:r>
    </w:p>
    <w:p>
      <w:pPr>
        <w:pStyle w:val="19"/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得分相同情况下：</w:t>
      </w:r>
    </w:p>
    <w:p>
      <w:pPr>
        <w:pStyle w:val="19"/>
        <w:numPr>
          <w:ilvl w:val="0"/>
          <w:numId w:val="0"/>
        </w:numPr>
        <w:ind w:left="432"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第一优先：技术得分高者</w:t>
      </w:r>
    </w:p>
    <w:p>
      <w:pPr>
        <w:pStyle w:val="19"/>
        <w:numPr>
          <w:ilvl w:val="0"/>
          <w:numId w:val="0"/>
        </w:numPr>
        <w:ind w:left="432" w:leftChars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第二优先：资信业绩得分高者</w:t>
      </w:r>
    </w:p>
    <w:p>
      <w:pPr>
        <w:pStyle w:val="19"/>
        <w:numPr>
          <w:ilvl w:val="0"/>
          <w:numId w:val="0"/>
        </w:numPr>
        <w:ind w:left="432" w:leftChars="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优先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投标报价得分高者</w:t>
      </w:r>
    </w:p>
    <w:p>
      <w:pPr>
        <w:pStyle w:val="19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五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、截止开标时间投标单位少于三家重新招标</w:t>
      </w:r>
    </w:p>
    <w:sectPr>
      <w:headerReference r:id="rId3" w:type="default"/>
      <w:footerReference r:id="rId4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decorative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roman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roman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modern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modern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roma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9"/>
      <w:rPr>
        <w:rFonts w:hint="eastAsia" w:eastAsiaTheme="minorEastAsia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789348431">
    <w:nsid w:val="6AA74A4F"/>
    <w:multiLevelType w:val="singleLevel"/>
    <w:tmpl w:val="6AA74A4F"/>
    <w:lvl w:ilvl="0" w:tentative="1">
      <w:start w:val="3"/>
      <w:numFmt w:val="chineseCounting"/>
      <w:suff w:val="nothing"/>
      <w:lvlText w:val="%1、"/>
      <w:lvlJc w:val="left"/>
    </w:lvl>
  </w:abstractNum>
  <w:abstractNum w:abstractNumId="1788335687">
    <w:nsid w:val="6A97D647"/>
    <w:multiLevelType w:val="singleLevel"/>
    <w:tmpl w:val="6A97D647"/>
    <w:lvl w:ilvl="0" w:tentative="1">
      <w:start w:val="2"/>
      <w:numFmt w:val="chineseCounting"/>
      <w:suff w:val="nothing"/>
      <w:lvlText w:val="（%1）"/>
      <w:lvlJc w:val="left"/>
    </w:lvl>
  </w:abstractNum>
  <w:num w:numId="1">
    <w:abstractNumId w:val="1789348431"/>
  </w:num>
  <w:num w:numId="2">
    <w:abstractNumId w:val="17883356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25B77EF"/>
    <w:rsid w:val="041A5C49"/>
    <w:rsid w:val="04957B11"/>
    <w:rsid w:val="09FF3E8E"/>
    <w:rsid w:val="0B441E89"/>
    <w:rsid w:val="14F11706"/>
    <w:rsid w:val="17B57BF4"/>
    <w:rsid w:val="17B96696"/>
    <w:rsid w:val="25682FBD"/>
    <w:rsid w:val="25DB2EE4"/>
    <w:rsid w:val="26E61C61"/>
    <w:rsid w:val="2DC73DA5"/>
    <w:rsid w:val="34604A67"/>
    <w:rsid w:val="35155D66"/>
    <w:rsid w:val="35B6712B"/>
    <w:rsid w:val="36963C2A"/>
    <w:rsid w:val="36D2449C"/>
    <w:rsid w:val="381C311D"/>
    <w:rsid w:val="3A900037"/>
    <w:rsid w:val="57693A23"/>
    <w:rsid w:val="63DB5EFF"/>
    <w:rsid w:val="74306E19"/>
    <w:rsid w:val="76263A83"/>
    <w:rsid w:val="7A6E1CE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2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link w:val="18"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1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3">
    <w:name w:val="Hyperlink"/>
    <w:unhideWhenUsed/>
    <w:qFormat/>
    <w:uiPriority w:val="99"/>
    <w:rPr>
      <w:color w:val="0563C1"/>
      <w:u w:val="single"/>
    </w:rPr>
  </w:style>
  <w:style w:type="character" w:styleId="14">
    <w:name w:val="footnote reference"/>
    <w:unhideWhenUsed/>
    <w:qFormat/>
    <w:uiPriority w:val="99"/>
    <w:rPr>
      <w:vertAlign w:val="superscript"/>
    </w:rPr>
  </w:style>
  <w:style w:type="paragraph" w:customStyle="1" w:styleId="16">
    <w:name w:val="要点1"/>
    <w:qFormat/>
    <w:uiPriority w:val="0"/>
    <w:rPr>
      <w:rFonts w:asciiTheme="minorHAnsi" w:hAnsiTheme="minorHAnsi" w:eastAsiaTheme="minorEastAsia" w:cstheme="minorBidi"/>
      <w:b/>
      <w:bCs/>
      <w:sz w:val="21"/>
      <w:szCs w:val="22"/>
    </w:rPr>
  </w:style>
  <w:style w:type="paragraph" w:customStyle="1" w:styleId="17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8">
    <w:name w:val="Footnote Text Char"/>
    <w:link w:val="10"/>
    <w:unhideWhenUsed/>
    <w:qFormat/>
    <w:uiPriority w:val="99"/>
    <w:rPr>
      <w:sz w:val="20"/>
      <w:szCs w:val="20"/>
    </w:rPr>
  </w:style>
  <w:style w:type="paragraph" w:customStyle="1" w:styleId="19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20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1428</Words>
  <Characters>1478</Characters>
  <Lines>0</Lines>
  <Paragraphs>0</Paragraphs>
  <ScaleCrop>false</ScaleCrop>
  <LinksUpToDate>false</LinksUpToDate>
  <CharactersWithSpaces>1541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2026-09-02T07:43:00Z</dcterms:created>
  <dc:creator>Un-named</dc:creator>
  <cp:lastModifiedBy>Administrator</cp:lastModifiedBy>
  <cp:lastPrinted>2026-09-14T01:14:00Z</cp:lastPrinted>
  <dcterms:modified xsi:type="dcterms:W3CDTF">2026-09-21T03:20:48Z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  <property fmtid="{D5CDD505-2E9C-101B-9397-08002B2CF9AE}" pid="3" name="KSOTemplateDocerSaveRecord">
    <vt:lpwstr>eyJoZGlkIjoiZDAzYjc5Zjk2ZWZmNmExYzIwZGQ2OGJhMmVmOTBiZjYiLCJ1c2VySWQiOiIxMzI4MDg0MDgxIn0=</vt:lpwstr>
  </property>
  <property fmtid="{D5CDD505-2E9C-101B-9397-08002B2CF9AE}" pid="4" name="ICV">
    <vt:lpwstr>12ECCF013DA14626952B15E76402BEB2_13</vt:lpwstr>
  </property>
</Properties>
</file>