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ascii="方正小标宋简体" w:hAnsi="方正小标宋简体" w:eastAsia="方正小标宋简体" w:cs="方正小标宋简体"/>
          <w:color w:val="000000" w:themeColor="text1"/>
          <w:sz w:val="44"/>
          <w:szCs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1847850</wp:posOffset>
                </wp:positionH>
                <wp:positionV relativeFrom="paragraph">
                  <wp:posOffset>-145415</wp:posOffset>
                </wp:positionV>
                <wp:extent cx="2185035" cy="1118870"/>
                <wp:effectExtent l="4445" t="4445" r="20320" b="19685"/>
                <wp:wrapNone/>
                <wp:docPr id="1" name="文本框 1"/>
                <wp:cNvGraphicFramePr/>
                <a:graphic xmlns:a="http://schemas.openxmlformats.org/drawingml/2006/main">
                  <a:graphicData uri="http://schemas.microsoft.com/office/word/2010/wordprocessingShape">
                    <wps:wsp>
                      <wps:cNvSpPr txBox="1"/>
                      <wps:spPr>
                        <a:xfrm>
                          <a:off x="3017520" y="977265"/>
                          <a:ext cx="2185035" cy="15849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pPr>
                              <w:spacing w:line="700" w:lineRule="exact"/>
                              <w:rPr>
                                <w:rFonts w:eastAsia="黑体" w:cs="Times New Roman"/>
                                <w:spacing w:val="20"/>
                                <w:sz w:val="58"/>
                                <w:szCs w:val="58"/>
                              </w:rPr>
                            </w:pPr>
                            <w:r>
                              <w:rPr>
                                <w:rFonts w:hint="eastAsia" w:eastAsia="黑体" w:cs="黑体"/>
                                <w:spacing w:val="20"/>
                                <w:sz w:val="58"/>
                                <w:szCs w:val="58"/>
                              </w:rPr>
                              <w:t>交通运输局</w:t>
                            </w:r>
                          </w:p>
                          <w:p>
                            <w:pPr>
                              <w:spacing w:line="600" w:lineRule="exact"/>
                              <w:rPr>
                                <w:rFonts w:eastAsia="黑体" w:cs="黑体"/>
                                <w:w w:val="65"/>
                                <w:sz w:val="58"/>
                                <w:szCs w:val="58"/>
                              </w:rPr>
                            </w:pPr>
                            <w:r>
                              <w:rPr>
                                <w:rFonts w:hint="eastAsia" w:eastAsia="黑体" w:cs="黑体"/>
                                <w:w w:val="65"/>
                                <w:sz w:val="58"/>
                                <w:szCs w:val="58"/>
                              </w:rPr>
                              <w:t>发展和改革委员会</w:t>
                            </w:r>
                          </w:p>
                        </w:txbxContent>
                      </wps:txbx>
                      <wps:bodyPr wrap="square" anchor="t" anchorCtr="0" upright="1"/>
                    </wps:wsp>
                  </a:graphicData>
                </a:graphic>
              </wp:anchor>
            </w:drawing>
          </mc:Choice>
          <mc:Fallback>
            <w:pict>
              <v:shape id="_x0000_s1026" o:spid="_x0000_s1026" o:spt="202" type="#_x0000_t202" style="position:absolute;left:0pt;margin-left:145.5pt;margin-top:-11.45pt;height:88.1pt;width:172.05pt;z-index:251659264;mso-width-relative:page;mso-height-relative:page;" fillcolor="#FFFFFF" filled="t" stroked="t" coordsize="21600,21600" o:gfxdata="UEsDBAoAAAAAAIdO4kAAAAAAAAAAAAAAAAAEAAAAZHJzL1BLAwQUAAAACACHTuJACIgU5toAAAAL&#10;AQAADwAAAGRycy9kb3ducmV2LnhtbE2PwU7DMBBE70j8g7VIXFDrxFErmsapUAXi3MKFmxtvk6jx&#10;OondpuXrWU5wXO3TzJtic3WduOAYWk8a0nkCAqnytqVaw+fH2+wZRIiGrOk8oYYbBtiU93eFya2f&#10;aIeXfawFh1DIjYYmxj6XMlQNOhPmvkfi39GPzkQ+x1ra0Uwc7jqpkmQpnWmJGxrT47bB6rQ/Ow1+&#10;er05j0Oinr6+3fv2Zdgd1aD140OarEFEvMY/GH71WR1Kdjr4M9kgOg1qlfKWqGGm1AoEE8tskYI4&#10;MLrIMpBlIf9vKH8AUEsDBBQAAAAIAIdO4kDDucgWMQIAAHcEAAAOAAAAZHJzL2Uyb0RvYy54bWyt&#10;VEuS0zAQ3VPFHVTaE38GJxlXnKliQthQQNXAARRJtlWlH5ISOxeAG7Biw37OlXPQksMwM2yyIAun&#10;JbVfv/e65dXNqCQ6cOeF0Q0uZjlGXFPDhO4a/OXz9tUSIx+IZkQazRt85B7frF++WA225qXpjWTc&#10;IQDRvh5sg/sQbJ1lnvZcET8zlms4bI1TJMDSdRlzZAB0JbMyz+fZYByzzlDuPexupkN8RnSXAJq2&#10;FZRvDN0rrsOE6rgkAST5XliP14lt23IaPrat5wHJBoPSkJ5QBOJdfGbrFak7R2wv6JkCuYTCM02K&#10;CA1FH6A2JBC0d+IfKCWoM960YUaNyiYhyRFQUeTPvLnrieVJC1jt7YPp/v/B0g+HTw4JBpOAkSYK&#10;Gn768f308/706xsqoj2D9TVk3VnIC+MbM8bU876Hzah6bJ2K/6AHwflVXiyqEiw+Nvh6sSjn1eQz&#10;HwOicF4Wyyq/qjCikFBUy9fX89SJ7C+SdT6840ahGDTYQSOTv+Tw3geoDql/UmJhb6RgWyFlWrhu&#10;dysdOhBo+jb9Yn145Uma1GgAflUZiRCY5BYmCEJlwQ2vu1TvyRv+MuBIbEN8PxFICJN+JQJ3wITU&#10;PSfsrWYoHC04ruGi4UhGcYaR5HAvY5QyAxHykkxQJ3WE5mnqzy7F5k1NilEYdyOAxnBn2BEaOsDk&#10;g9ive+KAAdG0N3A5wIUpvA3TVdlbJ7oe+pA6n0UAmMdk6fnuxIF/vIb48fdi/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IiBTm2gAAAAsBAAAPAAAAAAAAAAEAIAAAACIAAABkcnMvZG93bnJldi54&#10;bWxQSwECFAAUAAAACACHTuJAw7nIFjECAAB3BAAADgAAAAAAAAABACAAAAApAQAAZHJzL2Uyb0Rv&#10;Yy54bWxQSwUGAAAAAAYABgBZAQAAzAUAAAAA&#10;">
                <v:fill on="t" focussize="0,0"/>
                <v:stroke color="#FFFFFF" joinstyle="miter"/>
                <v:imagedata o:title=""/>
                <o:lock v:ext="edit" aspectratio="f"/>
                <v:textbox>
                  <w:txbxContent>
                    <w:p>
                      <w:pPr>
                        <w:spacing w:line="700" w:lineRule="exact"/>
                        <w:rPr>
                          <w:rFonts w:eastAsia="黑体" w:cs="Times New Roman"/>
                          <w:spacing w:val="20"/>
                          <w:sz w:val="58"/>
                          <w:szCs w:val="58"/>
                        </w:rPr>
                      </w:pPr>
                      <w:r>
                        <w:rPr>
                          <w:rFonts w:hint="eastAsia" w:eastAsia="黑体" w:cs="黑体"/>
                          <w:spacing w:val="20"/>
                          <w:sz w:val="58"/>
                          <w:szCs w:val="58"/>
                        </w:rPr>
                        <w:t>交通运输局</w:t>
                      </w:r>
                    </w:p>
                    <w:p>
                      <w:pPr>
                        <w:spacing w:line="600" w:lineRule="exact"/>
                        <w:rPr>
                          <w:rFonts w:eastAsia="黑体" w:cs="黑体"/>
                          <w:w w:val="65"/>
                          <w:sz w:val="58"/>
                          <w:szCs w:val="58"/>
                        </w:rPr>
                      </w:pPr>
                      <w:r>
                        <w:rPr>
                          <w:rFonts w:hint="eastAsia" w:eastAsia="黑体" w:cs="黑体"/>
                          <w:w w:val="65"/>
                          <w:sz w:val="58"/>
                          <w:szCs w:val="58"/>
                        </w:rPr>
                        <w:t>发展和改革委员会</w:t>
                      </w:r>
                    </w:p>
                  </w:txbxContent>
                </v:textbox>
              </v:shape>
            </w:pict>
          </mc:Fallback>
        </mc:AlternateContent>
      </w: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p>
    <w:p>
      <w:pPr>
        <w:spacing w:line="60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淮北市交通运输局 淮北市发展和改革委员会</w:t>
      </w:r>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关于持续提升城市客运出行服务</w:t>
      </w:r>
      <w:bookmarkStart w:id="0" w:name="_GoBack"/>
      <w:bookmarkEnd w:id="0"/>
    </w:p>
    <w:p>
      <w:pPr>
        <w:spacing w:line="60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实施便民服务措施的通知</w:t>
      </w:r>
    </w:p>
    <w:p>
      <w:pPr>
        <w:pStyle w:val="6"/>
        <w:widowControl/>
        <w:spacing w:beforeAutospacing="0" w:afterAutospacing="0" w:line="600" w:lineRule="exact"/>
        <w:rPr>
          <w:rFonts w:ascii="仿宋_GB2312" w:hAnsi="仿宋_GB2312" w:eastAsia="仿宋_GB2312" w:cs="仿宋_GB2312"/>
          <w:color w:val="000000" w:themeColor="text1"/>
          <w:sz w:val="32"/>
          <w:szCs w:val="32"/>
          <w14:textFill>
            <w14:solidFill>
              <w14:schemeClr w14:val="tx1"/>
            </w14:solidFill>
          </w14:textFill>
        </w:rPr>
      </w:pPr>
    </w:p>
    <w:p>
      <w:pPr>
        <w:pStyle w:val="6"/>
        <w:widowControl/>
        <w:spacing w:beforeAutospacing="0" w:afterAutospacing="0" w:line="52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濉溪县交通运输局、濉溪县发展改革委、市运管中心、各公交企业、各出租汽车企业:</w:t>
      </w:r>
    </w:p>
    <w:p>
      <w:pPr>
        <w:pStyle w:val="6"/>
        <w:widowControl/>
        <w:spacing w:beforeAutospacing="0" w:afterAutospacing="0" w:line="52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持续优化我市营商环境，提升城市客运出行服务，经研究，现将淮北市公共交通“40分钟内免费换乘”实施方案、淮北市出租汽车拼客经营服务指南（试行）等2项便民服务措施印发给你们。请认真抓好工作落实，确保高质量完成更贴近民生实事。</w:t>
      </w:r>
    </w:p>
    <w:p>
      <w:pPr>
        <w:pStyle w:val="6"/>
        <w:widowControl/>
        <w:spacing w:beforeAutospacing="0" w:afterAutospacing="0" w:line="520" w:lineRule="exact"/>
        <w:ind w:firstLine="420"/>
        <w:rPr>
          <w:rFonts w:ascii="仿宋_GB2312" w:hAnsi="仿宋_GB2312" w:eastAsia="仿宋_GB2312" w:cs="仿宋_GB2312"/>
          <w:color w:val="000000" w:themeColor="text1"/>
          <w:sz w:val="32"/>
          <w:szCs w:val="32"/>
          <w14:textFill>
            <w14:solidFill>
              <w14:schemeClr w14:val="tx1"/>
            </w14:solidFill>
          </w14:textFill>
        </w:rPr>
      </w:pPr>
    </w:p>
    <w:p>
      <w:pPr>
        <w:spacing w:line="520" w:lineRule="exact"/>
        <w:ind w:left="958" w:leftChars="304" w:hanging="320" w:hangingChars="100"/>
        <w:jc w:val="left"/>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附件：1.淮北市公共交通“40分钟内免费换乘”实施方案</w:t>
      </w:r>
    </w:p>
    <w:p>
      <w:pPr>
        <w:spacing w:line="520" w:lineRule="exact"/>
        <w:jc w:val="center"/>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 xml:space="preserve">      2.淮北市出租汽车拼客经营服务指南（试行）</w:t>
      </w:r>
    </w:p>
    <w:p>
      <w:pPr>
        <w:spacing w:line="520" w:lineRule="exact"/>
        <w:ind w:firstLine="1084" w:firstLineChars="300"/>
        <w:jc w:val="left"/>
        <w:rPr>
          <w:b/>
          <w:bCs/>
          <w:color w:val="000000" w:themeColor="text1"/>
          <w:sz w:val="36"/>
          <w:szCs w:val="36"/>
          <w14:textFill>
            <w14:solidFill>
              <w14:schemeClr w14:val="tx1"/>
            </w14:solidFill>
          </w14:textFill>
        </w:rPr>
      </w:pPr>
    </w:p>
    <w:p>
      <w:pPr>
        <w:spacing w:line="520" w:lineRule="exact"/>
        <w:ind w:firstLine="1084" w:firstLineChars="300"/>
        <w:jc w:val="left"/>
        <w:rPr>
          <w:b/>
          <w:bCs/>
          <w:color w:val="000000" w:themeColor="text1"/>
          <w:sz w:val="36"/>
          <w:szCs w:val="36"/>
          <w14:textFill>
            <w14:solidFill>
              <w14:schemeClr w14:val="tx1"/>
            </w14:solidFill>
          </w14:textFill>
        </w:rPr>
      </w:pPr>
    </w:p>
    <w:p>
      <w:pPr>
        <w:pStyle w:val="6"/>
        <w:widowControl/>
        <w:spacing w:beforeAutospacing="0" w:afterAutospacing="0" w:line="520" w:lineRule="exact"/>
        <w:ind w:firstLine="640" w:firstLineChars="200"/>
        <w:jc w:val="both"/>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淮北市交通运输局         淮北市发展和改革委员会</w:t>
      </w:r>
    </w:p>
    <w:p>
      <w:pPr>
        <w:pStyle w:val="6"/>
        <w:widowControl/>
        <w:spacing w:beforeAutospacing="0" w:afterAutospacing="0" w:line="520" w:lineRule="exact"/>
        <w:ind w:right="1120" w:firstLine="420"/>
        <w:jc w:val="righ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2023年4月23日</w:t>
      </w:r>
    </w:p>
    <w:p>
      <w:pPr>
        <w:spacing w:line="560" w:lineRule="exact"/>
        <w:jc w:val="lef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pPr>
        <w:spacing w:line="560" w:lineRule="exact"/>
        <w:jc w:val="left"/>
        <w:rPr>
          <w:rFonts w:asciiTheme="majorEastAsia" w:hAnsiTheme="majorEastAsia" w:eastAsiaTheme="majorEastAsia" w:cstheme="majorEastAsia"/>
          <w:color w:val="000000" w:themeColor="text1"/>
          <w:sz w:val="32"/>
          <w:szCs w:val="32"/>
          <w14:textFill>
            <w14:solidFill>
              <w14:schemeClr w14:val="tx1"/>
            </w14:solidFill>
          </w14:textFill>
        </w:rPr>
      </w:pPr>
    </w:p>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淮北市公共交通“40分钟内免费换乘”</w:t>
      </w:r>
    </w:p>
    <w:p>
      <w:pPr>
        <w:spacing w:line="560" w:lineRule="exact"/>
        <w:jc w:val="center"/>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实施方案</w:t>
      </w:r>
    </w:p>
    <w:p>
      <w:pPr>
        <w:spacing w:line="560" w:lineRule="exact"/>
        <w:jc w:val="center"/>
        <w:rPr>
          <w:b/>
          <w:bCs/>
          <w:color w:val="000000" w:themeColor="text1"/>
          <w:sz w:val="44"/>
          <w:szCs w:val="44"/>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为积极引导市民乘坐公交绿色出行，进一步提升公共交通出行分担率，提高公交车辆运营效率，缓解城市交通拥堵，促进节能减排，结合我市公共交通行业运营实际，制定淮北市公共交通“40分钟内免费换乘”实施方案。</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一、实施范围</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1.淮北市公共交通有限公司所属“一票制”公交线路47条（详见附表）实施“40分钟内免费换乘”；淮北市公共交通有限公司阶梯票价线路（公交101路、102路、201路）暂不执行免费换乘。</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w:t>
      </w:r>
      <w:r>
        <w:rPr>
          <w:rFonts w:hint="eastAsia" w:ascii="仿宋_GB2312" w:hAnsi="仿宋_GB2312" w:eastAsia="仿宋_GB2312" w:cs="仿宋_GB2312"/>
          <w:sz w:val="32"/>
          <w:szCs w:val="32"/>
        </w:rPr>
        <w:t>濉溪县恒瑞公交公司县城区6条公交线路</w:t>
      </w:r>
      <w:r>
        <w:rPr>
          <w:rFonts w:hint="eastAsia" w:ascii="仿宋_GB2312" w:hAnsi="仿宋_GB2312" w:eastAsia="仿宋_GB2312" w:cs="仿宋_GB2312"/>
          <w:color w:val="000000" w:themeColor="text1"/>
          <w:sz w:val="32"/>
          <w:szCs w:val="32"/>
          <w14:textFill>
            <w14:solidFill>
              <w14:schemeClr w14:val="tx1"/>
            </w14:solidFill>
          </w14:textFill>
        </w:rPr>
        <w:t>（详见附表）实施“40分钟内免费换乘”(以下简称免费换乘)；濉溪县恒瑞公交公司城乡公交线路（49条）暂不执行免费换乘。</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二、换乘细则</w:t>
      </w:r>
    </w:p>
    <w:p>
      <w:pPr>
        <w:spacing w:line="56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1.免费换乘是指乘客首次刷公交IC卡乘车后，在40分钟内换乘其他“一票制”的公交车辆时，享受一次免费换乘。</w:t>
      </w:r>
    </w:p>
    <w:p>
      <w:pPr>
        <w:spacing w:line="56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2.一次免费换乘结束后再次乘车需重新刷卡付费，可再次享受该优惠政策，依次类推。单卡当日享受免费换乘次数不设置限制。</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三、优惠对象</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市民持</w:t>
      </w:r>
      <w:r>
        <w:rPr>
          <w:rFonts w:hint="eastAsia" w:ascii="仿宋_GB2312" w:hAnsi="仿宋_GB2312" w:eastAsia="仿宋_GB2312" w:cs="仿宋_GB2312"/>
          <w:color w:val="FF0000"/>
          <w:sz w:val="32"/>
          <w:szCs w:val="32"/>
          <w:lang w:val="en-US" w:eastAsia="zh-CN"/>
        </w:rPr>
        <w:t>有</w:t>
      </w:r>
      <w:r>
        <w:rPr>
          <w:rFonts w:hint="eastAsia" w:ascii="仿宋_GB2312" w:hAnsi="仿宋_GB2312" w:eastAsia="仿宋_GB2312" w:cs="仿宋_GB2312"/>
          <w:color w:val="000000" w:themeColor="text1"/>
          <w:sz w:val="32"/>
          <w:szCs w:val="32"/>
          <w14:textFill>
            <w14:solidFill>
              <w14:schemeClr w14:val="tx1"/>
            </w14:solidFill>
          </w14:textFill>
        </w:rPr>
        <w:t>淮北市睿智通卡运营管理有限公司发行的所有实体公交IC卡（普通卡、学生卡、纪念卡、劳模卡等），乘坐公交时都能享受该政策。</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w:t>
      </w:r>
      <w:r>
        <w:rPr>
          <w:rFonts w:hint="eastAsia" w:ascii="仿宋_GB2312" w:hAnsi="仿宋_GB2312" w:eastAsia="仿宋_GB2312" w:cs="仿宋_GB2312"/>
          <w:b/>
          <w:bCs/>
          <w:color w:val="000000" w:themeColor="text1"/>
          <w:sz w:val="32"/>
          <w:szCs w:val="32"/>
          <w14:textFill>
            <w14:solidFill>
              <w14:schemeClr w14:val="tx1"/>
            </w14:solidFill>
          </w14:textFill>
        </w:rPr>
        <w:t>　</w:t>
      </w:r>
      <w:r>
        <w:rPr>
          <w:rFonts w:hint="eastAsia" w:ascii="黑体" w:hAnsi="黑体" w:eastAsia="黑体" w:cs="黑体"/>
          <w:color w:val="000000" w:themeColor="text1"/>
          <w:sz w:val="32"/>
          <w:szCs w:val="32"/>
          <w14:textFill>
            <w14:solidFill>
              <w14:schemeClr w14:val="tx1"/>
            </w14:solidFill>
          </w14:textFill>
        </w:rPr>
        <w:t>四、注意事项</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1.采用现金投币、电子支付等其他支付方式的，暂不享受免费换乘。　　</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2.市民免费换乘过程中需持同一张公交IC卡刷卡乘车。</w:t>
      </w:r>
    </w:p>
    <w:p>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3.免费换乘是通过在公交车上刷卡并记录车号进行计时，因此同一辆公交车不支持免费换乘。</w:t>
      </w:r>
    </w:p>
    <w:p>
      <w:pPr>
        <w:spacing w:line="56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4.免费换乘是通过刷卡计时，每张卡只可记录一个人的乘车信息。若多人使用同一张卡乘车，换乘其他公交车辆时，只能一人享受该政策。</w:t>
      </w:r>
    </w:p>
    <w:p>
      <w:pPr>
        <w:spacing w:line="560" w:lineRule="exact"/>
        <w:ind w:firstLine="600"/>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五、具体时间</w:t>
      </w:r>
    </w:p>
    <w:p>
      <w:pPr>
        <w:spacing w:line="560" w:lineRule="exact"/>
        <w:ind w:firstLine="6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2023年5月1日起实施。</w:t>
      </w:r>
    </w:p>
    <w:p>
      <w:pPr>
        <w:pStyle w:val="6"/>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p>
    <w:p>
      <w:pPr>
        <w:pStyle w:val="6"/>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附件：淮北市“40分钟内免费换乘”公交线路表</w:t>
      </w:r>
    </w:p>
    <w:p>
      <w:pPr>
        <w:pStyle w:val="6"/>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濉溪县“40分钟内免费换乘”公交线路表</w:t>
      </w:r>
    </w:p>
    <w:p>
      <w:pPr>
        <w:pStyle w:val="6"/>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p>
    <w:p>
      <w:pPr>
        <w:pStyle w:val="6"/>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p>
    <w:p>
      <w:pPr>
        <w:pStyle w:val="6"/>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p>
    <w:p>
      <w:pPr>
        <w:pStyle w:val="6"/>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p>
    <w:p>
      <w:pPr>
        <w:pStyle w:val="6"/>
        <w:widowControl/>
        <w:spacing w:beforeAutospacing="0" w:afterAutospacing="0" w:line="560" w:lineRule="exact"/>
        <w:ind w:firstLine="420"/>
        <w:rPr>
          <w:rFonts w:ascii="仿宋_GB2312" w:hAnsi="仿宋_GB2312" w:eastAsia="仿宋_GB2312" w:cs="仿宋_GB2312"/>
          <w:color w:val="000000" w:themeColor="text1"/>
          <w:sz w:val="32"/>
          <w:szCs w:val="32"/>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r>
        <w:rPr>
          <w:rFonts w:hint="eastAsia" w:ascii="方正小标宋简体" w:hAnsi="方正小标宋简体" w:eastAsia="方正小标宋简体" w:cs="仿宋_GB2312"/>
          <w:color w:val="000000" w:themeColor="text1"/>
          <w:sz w:val="44"/>
          <w:szCs w:val="44"/>
          <w14:textFill>
            <w14:solidFill>
              <w14:schemeClr w14:val="tx1"/>
            </w14:solidFill>
          </w14:textFill>
        </w:rPr>
        <w:t>淮北市“40分钟内免费换乘”公交线路表</w:t>
      </w:r>
    </w:p>
    <w:p>
      <w:pPr>
        <w:pStyle w:val="6"/>
        <w:widowControl/>
        <w:spacing w:beforeAutospacing="0" w:afterAutospacing="0" w:line="560" w:lineRule="exact"/>
        <w:jc w:val="center"/>
        <w:rPr>
          <w:rFonts w:ascii="仿宋_GB2312" w:hAnsi="仿宋_GB2312" w:eastAsia="仿宋_GB2312" w:cs="仿宋_GB2312"/>
          <w:color w:val="000000" w:themeColor="text1"/>
          <w:sz w:val="32"/>
          <w:szCs w:val="32"/>
          <w14:textFill>
            <w14:solidFill>
              <w14:schemeClr w14:val="tx1"/>
            </w14:solidFill>
          </w14:textFill>
        </w:rPr>
      </w:pPr>
    </w:p>
    <w:tbl>
      <w:tblPr>
        <w:tblStyle w:val="8"/>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2409"/>
        <w:gridCol w:w="487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sz w:val="28"/>
                <w:szCs w:val="28"/>
              </w:rPr>
            </w:pPr>
            <w:r>
              <w:rPr>
                <w:rFonts w:hint="eastAsia" w:ascii="仿宋_GB2312" w:eastAsia="仿宋_GB2312"/>
                <w:sz w:val="28"/>
                <w:szCs w:val="28"/>
              </w:rPr>
              <w:t>序号</w:t>
            </w:r>
          </w:p>
        </w:tc>
        <w:tc>
          <w:tcPr>
            <w:tcW w:w="2409" w:type="dxa"/>
            <w:vAlign w:val="center"/>
          </w:tcPr>
          <w:p>
            <w:pPr>
              <w:jc w:val="center"/>
              <w:rPr>
                <w:rFonts w:ascii="仿宋_GB2312" w:hAnsi="宋体" w:eastAsia="仿宋_GB2312" w:cs="宋体"/>
                <w:sz w:val="28"/>
                <w:szCs w:val="28"/>
              </w:rPr>
            </w:pPr>
            <w:r>
              <w:rPr>
                <w:rFonts w:hint="eastAsia" w:ascii="仿宋_GB2312" w:eastAsia="仿宋_GB2312"/>
                <w:sz w:val="28"/>
                <w:szCs w:val="28"/>
              </w:rPr>
              <w:t>线路</w:t>
            </w:r>
          </w:p>
        </w:tc>
        <w:tc>
          <w:tcPr>
            <w:tcW w:w="4875" w:type="dxa"/>
            <w:vAlign w:val="center"/>
          </w:tcPr>
          <w:p>
            <w:pPr>
              <w:jc w:val="center"/>
              <w:rPr>
                <w:rFonts w:ascii="仿宋_GB2312" w:hAnsi="宋体" w:eastAsia="仿宋_GB2312" w:cs="宋体"/>
                <w:sz w:val="28"/>
                <w:szCs w:val="28"/>
              </w:rPr>
            </w:pPr>
            <w:r>
              <w:rPr>
                <w:rFonts w:hint="eastAsia" w:ascii="仿宋_GB2312" w:eastAsia="仿宋_GB2312"/>
                <w:sz w:val="28"/>
                <w:szCs w:val="28"/>
              </w:rPr>
              <w:t>起终站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高岳公交基地至县加油站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相山经济开发区至朔里</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凤凰山食品工业园至石台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4</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4路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火车站至刘桥二矿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5</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5路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恒基城至万马相山庭院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6</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6路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恒基城环城线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7</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7路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教育环城线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8</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8路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温哥华城至淮海国际商贸城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9</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9路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恒大名都至客运北站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10</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相山公园至皖溪佳苑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11</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11路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万家花城至市八中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12</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12路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县120指挥中心至龙湖工业园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13</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15路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市八中至万家花城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14</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16路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政府环城线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15</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17路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温哥华城至市监管中心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16</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18路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公交客运枢纽至火车站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17</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19路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实验高中（环城线）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18</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20路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实验高中至纵楼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eastAsia="仿宋_GB2312"/>
                <w:color w:val="000000"/>
                <w:sz w:val="28"/>
                <w:szCs w:val="28"/>
              </w:rPr>
            </w:pPr>
            <w:r>
              <w:rPr>
                <w:rFonts w:hint="eastAsia" w:ascii="仿宋_GB2312" w:eastAsia="仿宋_GB2312"/>
                <w:color w:val="000000"/>
                <w:sz w:val="28"/>
                <w:szCs w:val="28"/>
              </w:rPr>
              <w:t>19</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21路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县加油站至红星美凯龙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20</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22路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杜集区政府至淮北汽运驾校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21</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23路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火车站至恒大名都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22</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26路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高岳公交基地至县开发区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23</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27路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凤凰山食品工业园 至职教园区北门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24</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28路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淮北卫校至县加油站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25</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29路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县开发区至化家湖社区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26</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31路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杜集经济开发区至公交客运枢纽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27</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32路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恒基城至公交客运枢纽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28</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33路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万家花城至职教园区北门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29</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38路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恒基城至人民医院新院区北门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30</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81路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东部新城循环线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31</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82路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杜集经济开发区循环线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32</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103路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相山经济开发区至龙湖工业园</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33</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104路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恒基城至南湖社区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34</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105路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东山客运站至职教园区北门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35</w:t>
            </w:r>
          </w:p>
        </w:tc>
        <w:tc>
          <w:tcPr>
            <w:tcW w:w="2409"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111路</w:t>
            </w:r>
          </w:p>
        </w:tc>
        <w:tc>
          <w:tcPr>
            <w:tcW w:w="4875"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恒基城至榴园景区</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36</w:t>
            </w:r>
          </w:p>
        </w:tc>
        <w:tc>
          <w:tcPr>
            <w:tcW w:w="2409"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117路</w:t>
            </w:r>
          </w:p>
        </w:tc>
        <w:tc>
          <w:tcPr>
            <w:tcW w:w="4875"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恒基城至青龙山火车站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37</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118路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东山客运站至杨庄矿中学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38</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121路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梅苑路客运站至梧桐村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39</w:t>
            </w:r>
          </w:p>
        </w:tc>
        <w:tc>
          <w:tcPr>
            <w:tcW w:w="2409"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123路</w:t>
            </w:r>
          </w:p>
        </w:tc>
        <w:tc>
          <w:tcPr>
            <w:tcW w:w="4875"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火车站至鲁楼村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40</w:t>
            </w:r>
          </w:p>
        </w:tc>
        <w:tc>
          <w:tcPr>
            <w:tcW w:w="2409"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123南路</w:t>
            </w:r>
          </w:p>
        </w:tc>
        <w:tc>
          <w:tcPr>
            <w:tcW w:w="4875"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火车站至鲁楼村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41</w:t>
            </w:r>
          </w:p>
        </w:tc>
        <w:tc>
          <w:tcPr>
            <w:tcW w:w="2409"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126路</w:t>
            </w:r>
          </w:p>
        </w:tc>
        <w:tc>
          <w:tcPr>
            <w:tcW w:w="4875"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恒基城至淮北经济开发区管委会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42</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129路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恒基城至官庄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43</w:t>
            </w:r>
          </w:p>
        </w:tc>
        <w:tc>
          <w:tcPr>
            <w:tcW w:w="2409"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131路</w:t>
            </w:r>
          </w:p>
        </w:tc>
        <w:tc>
          <w:tcPr>
            <w:tcW w:w="4875"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梅苑路客运站至马桥行政服务中心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44</w:t>
            </w:r>
          </w:p>
        </w:tc>
        <w:tc>
          <w:tcPr>
            <w:tcW w:w="2409"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132路</w:t>
            </w:r>
          </w:p>
        </w:tc>
        <w:tc>
          <w:tcPr>
            <w:tcW w:w="4875"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梅苑路客运站至蔡桥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45</w:t>
            </w:r>
          </w:p>
        </w:tc>
        <w:tc>
          <w:tcPr>
            <w:tcW w:w="2409"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135路</w:t>
            </w:r>
          </w:p>
        </w:tc>
        <w:tc>
          <w:tcPr>
            <w:tcW w:w="4875"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梅苑路客运站至古饶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46</w:t>
            </w:r>
          </w:p>
        </w:tc>
        <w:tc>
          <w:tcPr>
            <w:tcW w:w="2409"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136路</w:t>
            </w:r>
          </w:p>
        </w:tc>
        <w:tc>
          <w:tcPr>
            <w:tcW w:w="4875" w:type="dxa"/>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站北广场至古饶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exact"/>
        </w:trPr>
        <w:tc>
          <w:tcPr>
            <w:tcW w:w="1668" w:type="dxa"/>
            <w:vAlign w:val="center"/>
          </w:tcPr>
          <w:p>
            <w:pPr>
              <w:jc w:val="center"/>
              <w:rPr>
                <w:rFonts w:ascii="仿宋_GB2312" w:hAnsi="宋体" w:eastAsia="仿宋_GB2312" w:cs="宋体"/>
                <w:color w:val="000000"/>
                <w:sz w:val="28"/>
                <w:szCs w:val="28"/>
              </w:rPr>
            </w:pPr>
            <w:r>
              <w:rPr>
                <w:rFonts w:hint="eastAsia" w:ascii="仿宋_GB2312" w:hAnsi="宋体" w:eastAsia="仿宋_GB2312" w:cs="宋体"/>
                <w:color w:val="000000"/>
                <w:sz w:val="28"/>
                <w:szCs w:val="28"/>
              </w:rPr>
              <w:t>47</w:t>
            </w:r>
          </w:p>
        </w:tc>
        <w:tc>
          <w:tcPr>
            <w:tcW w:w="2409"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139路</w:t>
            </w:r>
          </w:p>
        </w:tc>
        <w:tc>
          <w:tcPr>
            <w:tcW w:w="4875" w:type="dxa"/>
            <w:vAlign w:val="center"/>
          </w:tcPr>
          <w:p>
            <w:pPr>
              <w:widowControl/>
              <w:jc w:val="center"/>
              <w:rPr>
                <w:rFonts w:ascii="仿宋_GB2312" w:hAnsi="宋体" w:eastAsia="仿宋_GB2312" w:cs="宋体"/>
                <w:color w:val="000000"/>
                <w:kern w:val="0"/>
                <w:sz w:val="28"/>
                <w:szCs w:val="28"/>
              </w:rPr>
            </w:pPr>
            <w:r>
              <w:rPr>
                <w:rFonts w:hint="eastAsia" w:ascii="仿宋_GB2312" w:hAnsi="宋体" w:eastAsia="仿宋_GB2312" w:cs="宋体"/>
                <w:color w:val="000000"/>
                <w:kern w:val="0"/>
                <w:sz w:val="28"/>
                <w:szCs w:val="28"/>
              </w:rPr>
              <w:t>恒基城公交至临涣煤焦化工基地</w:t>
            </w:r>
          </w:p>
        </w:tc>
      </w:tr>
    </w:tbl>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r>
        <w:rPr>
          <w:rFonts w:hint="eastAsia" w:ascii="方正小标宋简体" w:hAnsi="方正小标宋简体" w:eastAsia="方正小标宋简体" w:cs="仿宋_GB2312"/>
          <w:color w:val="000000" w:themeColor="text1"/>
          <w:sz w:val="44"/>
          <w:szCs w:val="44"/>
          <w14:textFill>
            <w14:solidFill>
              <w14:schemeClr w14:val="tx1"/>
            </w14:solidFill>
          </w14:textFill>
        </w:rPr>
        <w:t>濉溪县“40分钟内免费换乘”公交线路表</w:t>
      </w: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tbl>
      <w:tblPr>
        <w:tblStyle w:val="8"/>
        <w:tblW w:w="90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84"/>
        <w:gridCol w:w="2126"/>
        <w:gridCol w:w="55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exact"/>
        </w:trPr>
        <w:tc>
          <w:tcPr>
            <w:tcW w:w="1384" w:type="dxa"/>
            <w:vAlign w:val="center"/>
          </w:tcPr>
          <w:p>
            <w:pPr>
              <w:jc w:val="center"/>
              <w:rPr>
                <w:rFonts w:ascii="仿宋_GB2312" w:hAnsi="宋体" w:eastAsia="仿宋_GB2312" w:cs="宋体"/>
                <w:sz w:val="28"/>
                <w:szCs w:val="28"/>
              </w:rPr>
            </w:pPr>
            <w:r>
              <w:rPr>
                <w:rFonts w:hint="eastAsia" w:ascii="仿宋_GB2312" w:eastAsia="仿宋_GB2312"/>
                <w:sz w:val="28"/>
                <w:szCs w:val="28"/>
              </w:rPr>
              <w:t>序号</w:t>
            </w:r>
          </w:p>
        </w:tc>
        <w:tc>
          <w:tcPr>
            <w:tcW w:w="2126" w:type="dxa"/>
            <w:vAlign w:val="center"/>
          </w:tcPr>
          <w:p>
            <w:pPr>
              <w:jc w:val="center"/>
              <w:rPr>
                <w:rFonts w:ascii="仿宋_GB2312" w:hAnsi="宋体" w:eastAsia="仿宋_GB2312" w:cs="宋体"/>
                <w:sz w:val="28"/>
                <w:szCs w:val="28"/>
              </w:rPr>
            </w:pPr>
            <w:r>
              <w:rPr>
                <w:rFonts w:hint="eastAsia" w:ascii="仿宋_GB2312" w:eastAsia="仿宋_GB2312"/>
                <w:sz w:val="28"/>
                <w:szCs w:val="28"/>
              </w:rPr>
              <w:t>线路</w:t>
            </w:r>
          </w:p>
        </w:tc>
        <w:tc>
          <w:tcPr>
            <w:tcW w:w="5562" w:type="dxa"/>
            <w:vAlign w:val="center"/>
          </w:tcPr>
          <w:p>
            <w:pPr>
              <w:jc w:val="center"/>
              <w:rPr>
                <w:rFonts w:ascii="仿宋_GB2312" w:hAnsi="宋体" w:eastAsia="仿宋_GB2312" w:cs="宋体"/>
                <w:sz w:val="28"/>
                <w:szCs w:val="28"/>
              </w:rPr>
            </w:pPr>
            <w:r>
              <w:rPr>
                <w:rFonts w:hint="eastAsia" w:ascii="仿宋_GB2312" w:eastAsia="仿宋_GB2312"/>
                <w:sz w:val="28"/>
                <w:szCs w:val="28"/>
              </w:rPr>
              <w:t>起终站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exact"/>
        </w:trPr>
        <w:tc>
          <w:tcPr>
            <w:tcW w:w="1384"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1</w:t>
            </w:r>
          </w:p>
        </w:tc>
        <w:tc>
          <w:tcPr>
            <w:tcW w:w="2126"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801</w:t>
            </w:r>
            <w:r>
              <w:rPr>
                <w:rFonts w:hint="eastAsia" w:ascii="仿宋_GB2312" w:hAnsi="宋体" w:eastAsia="仿宋_GB2312" w:cs="宋体"/>
                <w:kern w:val="0"/>
                <w:sz w:val="28"/>
                <w:szCs w:val="28"/>
              </w:rPr>
              <w:t>路</w:t>
            </w:r>
          </w:p>
        </w:tc>
        <w:tc>
          <w:tcPr>
            <w:tcW w:w="5562"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开发区首末站-蒙村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exact"/>
        </w:trPr>
        <w:tc>
          <w:tcPr>
            <w:tcW w:w="1384"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2</w:t>
            </w:r>
          </w:p>
        </w:tc>
        <w:tc>
          <w:tcPr>
            <w:tcW w:w="2126"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802</w:t>
            </w:r>
            <w:r>
              <w:rPr>
                <w:rFonts w:hint="eastAsia" w:ascii="仿宋_GB2312" w:hAnsi="宋体" w:eastAsia="仿宋_GB2312" w:cs="宋体"/>
                <w:kern w:val="0"/>
                <w:sz w:val="28"/>
                <w:szCs w:val="28"/>
              </w:rPr>
              <w:t>路</w:t>
            </w:r>
          </w:p>
        </w:tc>
        <w:tc>
          <w:tcPr>
            <w:tcW w:w="5562"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恒大首末站-大市场-开发区总站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exact"/>
        </w:trPr>
        <w:tc>
          <w:tcPr>
            <w:tcW w:w="1384"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3</w:t>
            </w:r>
          </w:p>
        </w:tc>
        <w:tc>
          <w:tcPr>
            <w:tcW w:w="2126"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803</w:t>
            </w:r>
            <w:r>
              <w:rPr>
                <w:rFonts w:hint="eastAsia" w:ascii="仿宋_GB2312" w:hAnsi="宋体" w:eastAsia="仿宋_GB2312" w:cs="宋体"/>
                <w:kern w:val="0"/>
                <w:sz w:val="28"/>
                <w:szCs w:val="28"/>
              </w:rPr>
              <w:t>路</w:t>
            </w:r>
          </w:p>
        </w:tc>
        <w:tc>
          <w:tcPr>
            <w:tcW w:w="5562"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恒大首末站-彭楼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exact"/>
        </w:trPr>
        <w:tc>
          <w:tcPr>
            <w:tcW w:w="1384"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4</w:t>
            </w:r>
          </w:p>
        </w:tc>
        <w:tc>
          <w:tcPr>
            <w:tcW w:w="2126"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805</w:t>
            </w:r>
            <w:r>
              <w:rPr>
                <w:rFonts w:hint="eastAsia" w:ascii="仿宋_GB2312" w:hAnsi="宋体" w:eastAsia="仿宋_GB2312" w:cs="宋体"/>
                <w:kern w:val="0"/>
                <w:sz w:val="28"/>
                <w:szCs w:val="28"/>
              </w:rPr>
              <w:t>路</w:t>
            </w:r>
          </w:p>
        </w:tc>
        <w:tc>
          <w:tcPr>
            <w:tcW w:w="5562"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恒大首末站-玉兰大道-开发区总站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exact"/>
        </w:trPr>
        <w:tc>
          <w:tcPr>
            <w:tcW w:w="1384"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5</w:t>
            </w:r>
          </w:p>
        </w:tc>
        <w:tc>
          <w:tcPr>
            <w:tcW w:w="2126"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806</w:t>
            </w:r>
            <w:r>
              <w:rPr>
                <w:rFonts w:hint="eastAsia" w:ascii="仿宋_GB2312" w:hAnsi="宋体" w:eastAsia="仿宋_GB2312" w:cs="宋体"/>
                <w:kern w:val="0"/>
                <w:sz w:val="28"/>
                <w:szCs w:val="28"/>
              </w:rPr>
              <w:t>路</w:t>
            </w:r>
          </w:p>
        </w:tc>
        <w:tc>
          <w:tcPr>
            <w:tcW w:w="5562"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恒大首末站-恒大首末站（环线）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6" w:hRule="exact"/>
        </w:trPr>
        <w:tc>
          <w:tcPr>
            <w:tcW w:w="1384"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6</w:t>
            </w:r>
          </w:p>
        </w:tc>
        <w:tc>
          <w:tcPr>
            <w:tcW w:w="2126"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807</w:t>
            </w:r>
            <w:r>
              <w:rPr>
                <w:rFonts w:hint="eastAsia" w:ascii="仿宋_GB2312" w:hAnsi="宋体" w:eastAsia="仿宋_GB2312" w:cs="宋体"/>
                <w:kern w:val="0"/>
                <w:sz w:val="28"/>
                <w:szCs w:val="28"/>
              </w:rPr>
              <w:t>路</w:t>
            </w:r>
          </w:p>
        </w:tc>
        <w:tc>
          <w:tcPr>
            <w:tcW w:w="5562" w:type="dxa"/>
            <w:vAlign w:val="center"/>
          </w:tcPr>
          <w:p>
            <w:pPr>
              <w:jc w:val="center"/>
              <w:rPr>
                <w:rFonts w:ascii="仿宋_GB2312" w:hAnsi="宋体" w:eastAsia="仿宋_GB2312" w:cs="宋体"/>
                <w:color w:val="000000"/>
                <w:sz w:val="28"/>
                <w:szCs w:val="28"/>
              </w:rPr>
            </w:pPr>
            <w:r>
              <w:rPr>
                <w:rFonts w:hint="eastAsia" w:ascii="仿宋_GB2312" w:eastAsia="仿宋_GB2312"/>
                <w:color w:val="000000"/>
                <w:sz w:val="28"/>
                <w:szCs w:val="28"/>
              </w:rPr>
              <w:t>恒大首末站-县消防大队</w:t>
            </w:r>
          </w:p>
        </w:tc>
      </w:tr>
    </w:tbl>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jc w:val="center"/>
        <w:rPr>
          <w:rFonts w:ascii="方正小标宋简体" w:hAnsi="方正小标宋简体" w:eastAsia="方正小标宋简体" w:cs="仿宋_GB2312"/>
          <w:color w:val="000000" w:themeColor="text1"/>
          <w:sz w:val="44"/>
          <w:szCs w:val="44"/>
          <w14:textFill>
            <w14:solidFill>
              <w14:schemeClr w14:val="tx1"/>
            </w14:solidFill>
          </w14:textFill>
        </w:rPr>
      </w:pPr>
    </w:p>
    <w:p>
      <w:pPr>
        <w:pStyle w:val="6"/>
        <w:widowControl/>
        <w:spacing w:beforeAutospacing="0" w:afterAutospacing="0" w:line="560" w:lineRule="exact"/>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pStyle w:val="6"/>
        <w:widowControl/>
        <w:spacing w:beforeAutospacing="0" w:afterAutospacing="0" w:line="560" w:lineRule="exact"/>
        <w:rPr>
          <w:rFonts w:ascii="仿宋_GB2312" w:hAnsi="仿宋_GB2312" w:eastAsia="仿宋_GB2312" w:cs="仿宋_GB2312"/>
          <w:color w:val="000000" w:themeColor="text1"/>
          <w:sz w:val="32"/>
          <w:szCs w:val="32"/>
          <w14:textFill>
            <w14:solidFill>
              <w14:schemeClr w14:val="tx1"/>
            </w14:solidFill>
          </w14:textFill>
        </w:rPr>
      </w:pPr>
    </w:p>
    <w:p>
      <w:pPr>
        <w:spacing w:line="560" w:lineRule="exact"/>
        <w:jc w:val="center"/>
        <w:rPr>
          <w:rFonts w:ascii="方正小标宋简体" w:hAnsi="方正小标宋简体" w:eastAsia="方正小标宋简体" w:cs="方正小标宋简体"/>
          <w:bCs/>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szCs w:val="44"/>
          <w14:textFill>
            <w14:solidFill>
              <w14:schemeClr w14:val="tx1"/>
            </w14:solidFill>
          </w14:textFill>
        </w:rPr>
        <w:t>淮北市出租汽车拼客经营服务指南（试行）</w:t>
      </w:r>
    </w:p>
    <w:p>
      <w:pPr>
        <w:spacing w:line="560" w:lineRule="exact"/>
        <w:rPr>
          <w:color w:val="000000" w:themeColor="text1"/>
          <w14:textFill>
            <w14:solidFill>
              <w14:schemeClr w14:val="tx1"/>
            </w14:solidFill>
          </w14:textFill>
        </w:rPr>
      </w:pP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为更好地满足社会公众多样化出行需求，</w:t>
      </w:r>
      <w:r>
        <w:rPr>
          <w:rFonts w:hint="eastAsia" w:ascii="仿宋_GB2312" w:hAnsi="仿宋_GB2312" w:eastAsia="仿宋_GB2312" w:cs="仿宋_GB2312"/>
          <w:color w:val="000000" w:themeColor="text1"/>
          <w:sz w:val="32"/>
          <w:szCs w:val="32"/>
          <w14:textFill>
            <w14:solidFill>
              <w14:schemeClr w14:val="tx1"/>
            </w14:solidFill>
          </w14:textFill>
        </w:rPr>
        <w:t>优化资源配置，提高出租汽车运营效率，倡导低碳出行、便捷乘客，根据交通运输部《巡游出租汽车经营服务管理规定》、《安徽省道路运输管理条例》、《安徽省出租汽车客运管理办法》等有关法规、规章，结合本市实际，制订本指南。</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第二条本指南所称拼客经营是指出租车在载客运营过程中，征得第一乘客同意搭乘其他乘客，各自付费乘坐同一辆出租汽车前往同方向目的地的出行方式。</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第三条本指南适用于从事全市巡游出租汽车经营服务的经营者和驾驶员，适用范围淮北市辖区内（含濉溪县）。</w:t>
      </w:r>
    </w:p>
    <w:p>
      <w:pPr>
        <w:spacing w:line="560"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第四条拼客经营遵循乘客自愿原则，不得强制拼客，车上同时只能一次拼客，但可循环拼客。</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五条驾驶员在拼客经营服务时，需征得第一乘客同意搭乘第二乘客并由驾驶员触发拼客按键，第一乘客计价器计费优惠1元，第二乘客不优惠；第二乘客下车后，如征得同意再次拼客，第一乘客计费再优惠1元；如第一乘客先下车，第二乘客将自动成为第一乘客，中途同意拼客即享受计费优惠1元；以此循环，以上优惠均在计价器运价内触发自动减免。</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第六条计价器分别单独计费，任一户乘客到达目的地后，计价器显示当前的计费信息并打印发票，之后计价器显示另一户计费信息，另一户乘客到达目的地后，计价器显示计价信息并打印发票。</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第七条出租车驾驶员在运营过程中拼客经营必须为同一路线或同一目的地。</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八条出租车驾驶员在运营过程中未征得第一乘客同意强制拼客、不按第一乘客目的地选择不合理的路线运行拼客、绕行拼客都视为违规拼客，乘客有权拒绝支付运费，并由交通运输执法机构按照相关规定给予相应处罚。</w:t>
      </w:r>
    </w:p>
    <w:p>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第九条本服务指南自2023年5月1日起实施，试行一年。</w:t>
      </w:r>
    </w:p>
    <w:p>
      <w:pPr>
        <w:pStyle w:val="6"/>
        <w:widowControl/>
        <w:spacing w:beforeAutospacing="0" w:afterAutospacing="0" w:line="600" w:lineRule="exact"/>
        <w:rPr>
          <w:rFonts w:ascii="仿宋_GB2312" w:hAnsi="仿宋_GB2312" w:eastAsia="仿宋_GB2312" w:cs="仿宋_GB2312"/>
          <w:color w:val="000000" w:themeColor="text1"/>
          <w:sz w:val="32"/>
          <w:szCs w:val="32"/>
          <w14:textFill>
            <w14:solidFill>
              <w14:schemeClr w14:val="tx1"/>
            </w14:solidFill>
          </w14:textFill>
        </w:rPr>
      </w:pPr>
    </w:p>
    <w:sectPr>
      <w:footerReference r:id="rId3" w:type="default"/>
      <w:pgSz w:w="11906" w:h="16838"/>
      <w:pgMar w:top="198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9856"/>
    </w:sdtPr>
    <w:sdtContent>
      <w:p>
        <w:pPr>
          <w:pStyle w:val="4"/>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YmYyYWU1ZGJmZTFiMzNhZjc3ZTQ1NDExY2EwMzgifQ=="/>
  </w:docVars>
  <w:rsids>
    <w:rsidRoot w:val="0EDD1B87"/>
    <w:rsid w:val="0003625A"/>
    <w:rsid w:val="000B6B19"/>
    <w:rsid w:val="001112C6"/>
    <w:rsid w:val="0012425F"/>
    <w:rsid w:val="00146C4B"/>
    <w:rsid w:val="001C2450"/>
    <w:rsid w:val="001F5838"/>
    <w:rsid w:val="00262733"/>
    <w:rsid w:val="002C7E41"/>
    <w:rsid w:val="003969A7"/>
    <w:rsid w:val="004C7C7B"/>
    <w:rsid w:val="00530178"/>
    <w:rsid w:val="00547C04"/>
    <w:rsid w:val="00591EB9"/>
    <w:rsid w:val="006D7158"/>
    <w:rsid w:val="00734620"/>
    <w:rsid w:val="00765D4E"/>
    <w:rsid w:val="007D6451"/>
    <w:rsid w:val="007F0CBD"/>
    <w:rsid w:val="00846033"/>
    <w:rsid w:val="008D313A"/>
    <w:rsid w:val="008F4E9E"/>
    <w:rsid w:val="00933C6E"/>
    <w:rsid w:val="00950D3F"/>
    <w:rsid w:val="00961B1C"/>
    <w:rsid w:val="00A9614E"/>
    <w:rsid w:val="00AA3BC1"/>
    <w:rsid w:val="00AA3CEC"/>
    <w:rsid w:val="00AB3F94"/>
    <w:rsid w:val="00AB547A"/>
    <w:rsid w:val="00AF1302"/>
    <w:rsid w:val="00BD2F9B"/>
    <w:rsid w:val="00C029E6"/>
    <w:rsid w:val="00C43A18"/>
    <w:rsid w:val="00CA1F7B"/>
    <w:rsid w:val="00D257B5"/>
    <w:rsid w:val="00D9610C"/>
    <w:rsid w:val="00DA4882"/>
    <w:rsid w:val="00DC26ED"/>
    <w:rsid w:val="00DC6C69"/>
    <w:rsid w:val="00DE5908"/>
    <w:rsid w:val="00E03C9C"/>
    <w:rsid w:val="00E06129"/>
    <w:rsid w:val="00E13486"/>
    <w:rsid w:val="00E145B9"/>
    <w:rsid w:val="00E61C0F"/>
    <w:rsid w:val="00EF3B31"/>
    <w:rsid w:val="00F6122C"/>
    <w:rsid w:val="00FB1DDF"/>
    <w:rsid w:val="00FB4590"/>
    <w:rsid w:val="00FE285D"/>
    <w:rsid w:val="00FE545F"/>
    <w:rsid w:val="016B77D8"/>
    <w:rsid w:val="018B248D"/>
    <w:rsid w:val="01B36BD0"/>
    <w:rsid w:val="01F114A6"/>
    <w:rsid w:val="01FB0577"/>
    <w:rsid w:val="02E96621"/>
    <w:rsid w:val="035148F2"/>
    <w:rsid w:val="03991DF6"/>
    <w:rsid w:val="03A32AC2"/>
    <w:rsid w:val="03A52548"/>
    <w:rsid w:val="03B22EB7"/>
    <w:rsid w:val="03DF1EFE"/>
    <w:rsid w:val="03F139E0"/>
    <w:rsid w:val="04073203"/>
    <w:rsid w:val="04155920"/>
    <w:rsid w:val="04624266"/>
    <w:rsid w:val="04784101"/>
    <w:rsid w:val="050E411D"/>
    <w:rsid w:val="058014BF"/>
    <w:rsid w:val="05F652DD"/>
    <w:rsid w:val="061340E1"/>
    <w:rsid w:val="061D286A"/>
    <w:rsid w:val="06F1384F"/>
    <w:rsid w:val="070D6D82"/>
    <w:rsid w:val="07481B68"/>
    <w:rsid w:val="07A86AAB"/>
    <w:rsid w:val="07FB6BDB"/>
    <w:rsid w:val="081E4FBF"/>
    <w:rsid w:val="084A7B62"/>
    <w:rsid w:val="086E1AA3"/>
    <w:rsid w:val="08962DA7"/>
    <w:rsid w:val="0946657C"/>
    <w:rsid w:val="09903C9B"/>
    <w:rsid w:val="099077F7"/>
    <w:rsid w:val="09954E0D"/>
    <w:rsid w:val="09CF47C3"/>
    <w:rsid w:val="09F9582E"/>
    <w:rsid w:val="0A0124A3"/>
    <w:rsid w:val="0A5371A2"/>
    <w:rsid w:val="0A6D18E6"/>
    <w:rsid w:val="0A7B04A7"/>
    <w:rsid w:val="0AD11E75"/>
    <w:rsid w:val="0BCA3494"/>
    <w:rsid w:val="0BE10C4D"/>
    <w:rsid w:val="0C2B15D0"/>
    <w:rsid w:val="0C6805B7"/>
    <w:rsid w:val="0CB16402"/>
    <w:rsid w:val="0CF462EF"/>
    <w:rsid w:val="0CFB142B"/>
    <w:rsid w:val="0D4E59FF"/>
    <w:rsid w:val="0D7C2A22"/>
    <w:rsid w:val="0D8256A8"/>
    <w:rsid w:val="0DC108C7"/>
    <w:rsid w:val="0DDF2AFB"/>
    <w:rsid w:val="0DE93979"/>
    <w:rsid w:val="0E032C8D"/>
    <w:rsid w:val="0E6A2D0C"/>
    <w:rsid w:val="0E6A4ABA"/>
    <w:rsid w:val="0E6D45AA"/>
    <w:rsid w:val="0E8536A2"/>
    <w:rsid w:val="0EA578A0"/>
    <w:rsid w:val="0EBB3568"/>
    <w:rsid w:val="0EDD1B87"/>
    <w:rsid w:val="0EE872E8"/>
    <w:rsid w:val="0EEC54CF"/>
    <w:rsid w:val="0F8B4CE8"/>
    <w:rsid w:val="0FC14BAE"/>
    <w:rsid w:val="10207B26"/>
    <w:rsid w:val="109E0A4B"/>
    <w:rsid w:val="11131439"/>
    <w:rsid w:val="120174E4"/>
    <w:rsid w:val="1299424E"/>
    <w:rsid w:val="129C720C"/>
    <w:rsid w:val="12B10F0A"/>
    <w:rsid w:val="12B24C82"/>
    <w:rsid w:val="12B5207C"/>
    <w:rsid w:val="12F2507E"/>
    <w:rsid w:val="135950FD"/>
    <w:rsid w:val="13C609E5"/>
    <w:rsid w:val="13CC1D73"/>
    <w:rsid w:val="13E946D3"/>
    <w:rsid w:val="13F310AE"/>
    <w:rsid w:val="1424395D"/>
    <w:rsid w:val="14DC1B42"/>
    <w:rsid w:val="160457F4"/>
    <w:rsid w:val="16113A6D"/>
    <w:rsid w:val="161517B0"/>
    <w:rsid w:val="16157A01"/>
    <w:rsid w:val="167F131F"/>
    <w:rsid w:val="167F4E7B"/>
    <w:rsid w:val="17023688"/>
    <w:rsid w:val="178410DB"/>
    <w:rsid w:val="17935082"/>
    <w:rsid w:val="17D80CE7"/>
    <w:rsid w:val="17D905BB"/>
    <w:rsid w:val="17DD00AB"/>
    <w:rsid w:val="17F43647"/>
    <w:rsid w:val="18BD1C8B"/>
    <w:rsid w:val="18D21BDA"/>
    <w:rsid w:val="1905071D"/>
    <w:rsid w:val="192B3098"/>
    <w:rsid w:val="194A1770"/>
    <w:rsid w:val="19502AFF"/>
    <w:rsid w:val="19642DC0"/>
    <w:rsid w:val="196842EC"/>
    <w:rsid w:val="19D41982"/>
    <w:rsid w:val="1A2E4BEE"/>
    <w:rsid w:val="1B2A7AAB"/>
    <w:rsid w:val="1B851185"/>
    <w:rsid w:val="1C200EAE"/>
    <w:rsid w:val="1C27223D"/>
    <w:rsid w:val="1C5D7A0C"/>
    <w:rsid w:val="1C782A98"/>
    <w:rsid w:val="1C9176B6"/>
    <w:rsid w:val="1DAD6772"/>
    <w:rsid w:val="1E4C1AE7"/>
    <w:rsid w:val="1E707ECB"/>
    <w:rsid w:val="1E7F1517"/>
    <w:rsid w:val="1F081C1A"/>
    <w:rsid w:val="1F0B7BF4"/>
    <w:rsid w:val="1F354C71"/>
    <w:rsid w:val="1F356A1F"/>
    <w:rsid w:val="1F9F033C"/>
    <w:rsid w:val="1FA6791C"/>
    <w:rsid w:val="1FCB2EDF"/>
    <w:rsid w:val="1FFB7C68"/>
    <w:rsid w:val="206C021E"/>
    <w:rsid w:val="207B2B57"/>
    <w:rsid w:val="21110DC5"/>
    <w:rsid w:val="216D6944"/>
    <w:rsid w:val="21916B09"/>
    <w:rsid w:val="21BC6F83"/>
    <w:rsid w:val="22462CF1"/>
    <w:rsid w:val="233D2346"/>
    <w:rsid w:val="234E00AF"/>
    <w:rsid w:val="237613B4"/>
    <w:rsid w:val="23D031BA"/>
    <w:rsid w:val="240864B0"/>
    <w:rsid w:val="246D6C5B"/>
    <w:rsid w:val="247753E3"/>
    <w:rsid w:val="24CA5E5B"/>
    <w:rsid w:val="24FD6311"/>
    <w:rsid w:val="25257535"/>
    <w:rsid w:val="253D03DB"/>
    <w:rsid w:val="257D111F"/>
    <w:rsid w:val="25B06DFF"/>
    <w:rsid w:val="26562EE5"/>
    <w:rsid w:val="268C786C"/>
    <w:rsid w:val="26A10E3D"/>
    <w:rsid w:val="26E256DE"/>
    <w:rsid w:val="26FB67A0"/>
    <w:rsid w:val="272F1FA5"/>
    <w:rsid w:val="27601781"/>
    <w:rsid w:val="27F751B9"/>
    <w:rsid w:val="28177609"/>
    <w:rsid w:val="283A6E54"/>
    <w:rsid w:val="286B1703"/>
    <w:rsid w:val="28920A3E"/>
    <w:rsid w:val="28924EE2"/>
    <w:rsid w:val="289C7B0E"/>
    <w:rsid w:val="28C01A4F"/>
    <w:rsid w:val="28CC03F4"/>
    <w:rsid w:val="28F33BD2"/>
    <w:rsid w:val="29693E94"/>
    <w:rsid w:val="29EC23D0"/>
    <w:rsid w:val="29F6324E"/>
    <w:rsid w:val="2A8B3997"/>
    <w:rsid w:val="2ABB14F8"/>
    <w:rsid w:val="2AF11001"/>
    <w:rsid w:val="2B084FE7"/>
    <w:rsid w:val="2B3B716B"/>
    <w:rsid w:val="2B522706"/>
    <w:rsid w:val="2B920D55"/>
    <w:rsid w:val="2BD43465"/>
    <w:rsid w:val="2C2220D9"/>
    <w:rsid w:val="2C3A5674"/>
    <w:rsid w:val="2C416A03"/>
    <w:rsid w:val="2C83526D"/>
    <w:rsid w:val="2CEF46B1"/>
    <w:rsid w:val="2D71156A"/>
    <w:rsid w:val="2D7352E2"/>
    <w:rsid w:val="2E222864"/>
    <w:rsid w:val="2E232138"/>
    <w:rsid w:val="2E9D013C"/>
    <w:rsid w:val="2F464330"/>
    <w:rsid w:val="2F6607DD"/>
    <w:rsid w:val="2FD656B4"/>
    <w:rsid w:val="2FEE50F3"/>
    <w:rsid w:val="30703D5A"/>
    <w:rsid w:val="307750E9"/>
    <w:rsid w:val="31102E48"/>
    <w:rsid w:val="312132A7"/>
    <w:rsid w:val="31771119"/>
    <w:rsid w:val="31B732C3"/>
    <w:rsid w:val="32D83E39"/>
    <w:rsid w:val="32FA3DAF"/>
    <w:rsid w:val="338D69D1"/>
    <w:rsid w:val="33AD0E22"/>
    <w:rsid w:val="342D3D10"/>
    <w:rsid w:val="342E1F62"/>
    <w:rsid w:val="34596BCA"/>
    <w:rsid w:val="348576A9"/>
    <w:rsid w:val="34E15227"/>
    <w:rsid w:val="34E70363"/>
    <w:rsid w:val="34FF56AD"/>
    <w:rsid w:val="350B5E00"/>
    <w:rsid w:val="35131158"/>
    <w:rsid w:val="352944D8"/>
    <w:rsid w:val="35531555"/>
    <w:rsid w:val="35577297"/>
    <w:rsid w:val="355A0925"/>
    <w:rsid w:val="35747E49"/>
    <w:rsid w:val="35E6686D"/>
    <w:rsid w:val="36363350"/>
    <w:rsid w:val="3699743B"/>
    <w:rsid w:val="3727535F"/>
    <w:rsid w:val="3733163E"/>
    <w:rsid w:val="37737C8C"/>
    <w:rsid w:val="378B3228"/>
    <w:rsid w:val="37C404E8"/>
    <w:rsid w:val="37D01583"/>
    <w:rsid w:val="37F60FE9"/>
    <w:rsid w:val="3828316D"/>
    <w:rsid w:val="389D76B7"/>
    <w:rsid w:val="391D07F7"/>
    <w:rsid w:val="39365415"/>
    <w:rsid w:val="39882115"/>
    <w:rsid w:val="398E34A3"/>
    <w:rsid w:val="3B334302"/>
    <w:rsid w:val="3BAC5E63"/>
    <w:rsid w:val="3C0161AE"/>
    <w:rsid w:val="3C522566"/>
    <w:rsid w:val="3D3D3216"/>
    <w:rsid w:val="3D65276D"/>
    <w:rsid w:val="3D793B23"/>
    <w:rsid w:val="3D9372DA"/>
    <w:rsid w:val="3DCB25D0"/>
    <w:rsid w:val="3DE43692"/>
    <w:rsid w:val="3E1321C9"/>
    <w:rsid w:val="3E4800C5"/>
    <w:rsid w:val="3F03223E"/>
    <w:rsid w:val="3F6E3B5B"/>
    <w:rsid w:val="3FF322B2"/>
    <w:rsid w:val="40152228"/>
    <w:rsid w:val="405D772B"/>
    <w:rsid w:val="40DA0D7C"/>
    <w:rsid w:val="40F41E3E"/>
    <w:rsid w:val="40F736DC"/>
    <w:rsid w:val="41032081"/>
    <w:rsid w:val="41061B71"/>
    <w:rsid w:val="41326E0A"/>
    <w:rsid w:val="41E00614"/>
    <w:rsid w:val="423D15C3"/>
    <w:rsid w:val="42611755"/>
    <w:rsid w:val="42723962"/>
    <w:rsid w:val="4286740D"/>
    <w:rsid w:val="42B9333F"/>
    <w:rsid w:val="42D40179"/>
    <w:rsid w:val="42DB0117"/>
    <w:rsid w:val="4303280C"/>
    <w:rsid w:val="435B43F6"/>
    <w:rsid w:val="440A7BCA"/>
    <w:rsid w:val="441A605F"/>
    <w:rsid w:val="442B201A"/>
    <w:rsid w:val="443F7874"/>
    <w:rsid w:val="445B21D4"/>
    <w:rsid w:val="44C9538F"/>
    <w:rsid w:val="455F7AA2"/>
    <w:rsid w:val="457E617A"/>
    <w:rsid w:val="45CE50EE"/>
    <w:rsid w:val="45EE77A4"/>
    <w:rsid w:val="46957C1F"/>
    <w:rsid w:val="469D0882"/>
    <w:rsid w:val="46CC5A5D"/>
    <w:rsid w:val="46F04E55"/>
    <w:rsid w:val="46F661E4"/>
    <w:rsid w:val="47332F94"/>
    <w:rsid w:val="479003E6"/>
    <w:rsid w:val="47B92D39"/>
    <w:rsid w:val="483376F0"/>
    <w:rsid w:val="48407436"/>
    <w:rsid w:val="492E435B"/>
    <w:rsid w:val="496833C9"/>
    <w:rsid w:val="498875C7"/>
    <w:rsid w:val="49AA1C33"/>
    <w:rsid w:val="49EB5DA8"/>
    <w:rsid w:val="4A325785"/>
    <w:rsid w:val="4A443E36"/>
    <w:rsid w:val="4B5D1276"/>
    <w:rsid w:val="4B5F25AA"/>
    <w:rsid w:val="4B683B54"/>
    <w:rsid w:val="4B8169C4"/>
    <w:rsid w:val="4B887D52"/>
    <w:rsid w:val="4BC82845"/>
    <w:rsid w:val="4BDB2578"/>
    <w:rsid w:val="4C9170DB"/>
    <w:rsid w:val="4CA010CC"/>
    <w:rsid w:val="4CB6269D"/>
    <w:rsid w:val="4CC56D84"/>
    <w:rsid w:val="4CEA2347"/>
    <w:rsid w:val="4D341814"/>
    <w:rsid w:val="4D5048A0"/>
    <w:rsid w:val="4DDD3C5A"/>
    <w:rsid w:val="4DF06083"/>
    <w:rsid w:val="4E636855"/>
    <w:rsid w:val="4ED82D9F"/>
    <w:rsid w:val="4F18319B"/>
    <w:rsid w:val="4F844CD5"/>
    <w:rsid w:val="4FB8672C"/>
    <w:rsid w:val="5079410E"/>
    <w:rsid w:val="50BB2978"/>
    <w:rsid w:val="50E7376D"/>
    <w:rsid w:val="51905BB3"/>
    <w:rsid w:val="51F779E0"/>
    <w:rsid w:val="52846D9A"/>
    <w:rsid w:val="52D63A99"/>
    <w:rsid w:val="52DB4C0C"/>
    <w:rsid w:val="542E520F"/>
    <w:rsid w:val="544467E1"/>
    <w:rsid w:val="544B5DC1"/>
    <w:rsid w:val="54B5148C"/>
    <w:rsid w:val="552F56E3"/>
    <w:rsid w:val="5543118E"/>
    <w:rsid w:val="556F274C"/>
    <w:rsid w:val="55A3515F"/>
    <w:rsid w:val="55C027DF"/>
    <w:rsid w:val="560C0A43"/>
    <w:rsid w:val="56327239"/>
    <w:rsid w:val="56694C24"/>
    <w:rsid w:val="56DC0F52"/>
    <w:rsid w:val="57123788"/>
    <w:rsid w:val="57597595"/>
    <w:rsid w:val="57811AFA"/>
    <w:rsid w:val="57931F59"/>
    <w:rsid w:val="57B95737"/>
    <w:rsid w:val="57E00F16"/>
    <w:rsid w:val="580F7106"/>
    <w:rsid w:val="5870229A"/>
    <w:rsid w:val="58E6430A"/>
    <w:rsid w:val="591744C4"/>
    <w:rsid w:val="59F369A8"/>
    <w:rsid w:val="5A1629CD"/>
    <w:rsid w:val="5A736072"/>
    <w:rsid w:val="5B316CA1"/>
    <w:rsid w:val="5B5714EF"/>
    <w:rsid w:val="5B6B4F9B"/>
    <w:rsid w:val="5C0F5926"/>
    <w:rsid w:val="5C583771"/>
    <w:rsid w:val="5CA95D7B"/>
    <w:rsid w:val="5CED210B"/>
    <w:rsid w:val="5CF36FF6"/>
    <w:rsid w:val="5D557CB0"/>
    <w:rsid w:val="5D7E7207"/>
    <w:rsid w:val="5DC015CE"/>
    <w:rsid w:val="5E4A533B"/>
    <w:rsid w:val="5E4F2952"/>
    <w:rsid w:val="5E677720"/>
    <w:rsid w:val="5EC82E34"/>
    <w:rsid w:val="5EEB6ADB"/>
    <w:rsid w:val="5F1C6CD8"/>
    <w:rsid w:val="5F2E68F6"/>
    <w:rsid w:val="5F36141C"/>
    <w:rsid w:val="5FC86518"/>
    <w:rsid w:val="5FDA449D"/>
    <w:rsid w:val="60874625"/>
    <w:rsid w:val="60D96503"/>
    <w:rsid w:val="61166D9E"/>
    <w:rsid w:val="61880654"/>
    <w:rsid w:val="61A44D62"/>
    <w:rsid w:val="62061579"/>
    <w:rsid w:val="620A1069"/>
    <w:rsid w:val="624327CD"/>
    <w:rsid w:val="635A7DCF"/>
    <w:rsid w:val="635C3B47"/>
    <w:rsid w:val="63860BC4"/>
    <w:rsid w:val="639A466F"/>
    <w:rsid w:val="63AC7EFE"/>
    <w:rsid w:val="63D74F7B"/>
    <w:rsid w:val="64030466"/>
    <w:rsid w:val="641461CF"/>
    <w:rsid w:val="642B1AC3"/>
    <w:rsid w:val="64381F8A"/>
    <w:rsid w:val="647E5D3F"/>
    <w:rsid w:val="648D5F82"/>
    <w:rsid w:val="64EE4C72"/>
    <w:rsid w:val="654E223C"/>
    <w:rsid w:val="6554084E"/>
    <w:rsid w:val="65815AE7"/>
    <w:rsid w:val="65C77271"/>
    <w:rsid w:val="65CD0D2C"/>
    <w:rsid w:val="65FF4C5D"/>
    <w:rsid w:val="666D1BC7"/>
    <w:rsid w:val="66AA2E1B"/>
    <w:rsid w:val="66E83943"/>
    <w:rsid w:val="672229B1"/>
    <w:rsid w:val="67530DBD"/>
    <w:rsid w:val="67DA7730"/>
    <w:rsid w:val="67DB0DB2"/>
    <w:rsid w:val="69180510"/>
    <w:rsid w:val="699102C2"/>
    <w:rsid w:val="699F29DF"/>
    <w:rsid w:val="6AAD2EDA"/>
    <w:rsid w:val="6AB57FE0"/>
    <w:rsid w:val="6ABA1153"/>
    <w:rsid w:val="6AD22940"/>
    <w:rsid w:val="6ADE7537"/>
    <w:rsid w:val="6B1940CB"/>
    <w:rsid w:val="6B2018FE"/>
    <w:rsid w:val="6B5E5F82"/>
    <w:rsid w:val="6C315445"/>
    <w:rsid w:val="6C6B057D"/>
    <w:rsid w:val="6CE74474"/>
    <w:rsid w:val="6CF7668E"/>
    <w:rsid w:val="6D323B6A"/>
    <w:rsid w:val="6E095A12"/>
    <w:rsid w:val="6E337B9A"/>
    <w:rsid w:val="6E526272"/>
    <w:rsid w:val="6EAB3BD4"/>
    <w:rsid w:val="6ED749C9"/>
    <w:rsid w:val="6F2614AD"/>
    <w:rsid w:val="6F3E67F6"/>
    <w:rsid w:val="6F6D70DC"/>
    <w:rsid w:val="6FD20CED"/>
    <w:rsid w:val="7004359C"/>
    <w:rsid w:val="7027728A"/>
    <w:rsid w:val="70D94A29"/>
    <w:rsid w:val="70DC62C7"/>
    <w:rsid w:val="71BB3526"/>
    <w:rsid w:val="722F2426"/>
    <w:rsid w:val="72FA6ED8"/>
    <w:rsid w:val="732950C8"/>
    <w:rsid w:val="73B928EF"/>
    <w:rsid w:val="742A10F7"/>
    <w:rsid w:val="745D771F"/>
    <w:rsid w:val="74CB0B2C"/>
    <w:rsid w:val="75134281"/>
    <w:rsid w:val="751A116C"/>
    <w:rsid w:val="752734F6"/>
    <w:rsid w:val="75422471"/>
    <w:rsid w:val="7598401B"/>
    <w:rsid w:val="75D73501"/>
    <w:rsid w:val="75E1612D"/>
    <w:rsid w:val="75E33C54"/>
    <w:rsid w:val="761B163F"/>
    <w:rsid w:val="76B0301B"/>
    <w:rsid w:val="76F36118"/>
    <w:rsid w:val="77525D78"/>
    <w:rsid w:val="776D5ECB"/>
    <w:rsid w:val="77933457"/>
    <w:rsid w:val="77A80CB1"/>
    <w:rsid w:val="780E24BE"/>
    <w:rsid w:val="786642FA"/>
    <w:rsid w:val="78EE6B97"/>
    <w:rsid w:val="78FD327E"/>
    <w:rsid w:val="79164340"/>
    <w:rsid w:val="791800B8"/>
    <w:rsid w:val="79295E21"/>
    <w:rsid w:val="79402DFD"/>
    <w:rsid w:val="7956768E"/>
    <w:rsid w:val="795F5CE7"/>
    <w:rsid w:val="796F1C13"/>
    <w:rsid w:val="79701CA2"/>
    <w:rsid w:val="79E166FC"/>
    <w:rsid w:val="79FD2E0A"/>
    <w:rsid w:val="7A28257D"/>
    <w:rsid w:val="7A862E00"/>
    <w:rsid w:val="7A8F43AA"/>
    <w:rsid w:val="7AE244DA"/>
    <w:rsid w:val="7B2745E3"/>
    <w:rsid w:val="7B3A4316"/>
    <w:rsid w:val="7B4056A4"/>
    <w:rsid w:val="7B4C5DF7"/>
    <w:rsid w:val="7B917CAE"/>
    <w:rsid w:val="7B963516"/>
    <w:rsid w:val="7C105077"/>
    <w:rsid w:val="7C2A25DC"/>
    <w:rsid w:val="7C374CF9"/>
    <w:rsid w:val="7C43369E"/>
    <w:rsid w:val="7C855A65"/>
    <w:rsid w:val="7CCC3693"/>
    <w:rsid w:val="7D1D3EEF"/>
    <w:rsid w:val="7D4A45B8"/>
    <w:rsid w:val="7E2E4BEA"/>
    <w:rsid w:val="7E394D59"/>
    <w:rsid w:val="7E5A6A7D"/>
    <w:rsid w:val="7EB20667"/>
    <w:rsid w:val="7EE66563"/>
    <w:rsid w:val="7F8244DD"/>
    <w:rsid w:val="7FC91F6F"/>
    <w:rsid w:val="7FDD79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Hyperlink"/>
    <w:basedOn w:val="9"/>
    <w:qFormat/>
    <w:uiPriority w:val="0"/>
    <w:rPr>
      <w:color w:val="0000FF"/>
      <w:u w:val="single"/>
    </w:rPr>
  </w:style>
  <w:style w:type="character" w:customStyle="1" w:styleId="11">
    <w:name w:val="页眉 Char"/>
    <w:basedOn w:val="9"/>
    <w:link w:val="5"/>
    <w:qFormat/>
    <w:uiPriority w:val="0"/>
    <w:rPr>
      <w:rFonts w:asciiTheme="minorHAnsi" w:hAnsiTheme="minorHAnsi" w:eastAsiaTheme="minorEastAsia" w:cstheme="minorBidi"/>
      <w:kern w:val="2"/>
      <w:sz w:val="18"/>
      <w:szCs w:val="18"/>
    </w:rPr>
  </w:style>
  <w:style w:type="character" w:customStyle="1" w:styleId="12">
    <w:name w:val="页脚 Char"/>
    <w:basedOn w:val="9"/>
    <w:link w:val="4"/>
    <w:qFormat/>
    <w:uiPriority w:val="99"/>
    <w:rPr>
      <w:rFonts w:asciiTheme="minorHAnsi" w:hAnsiTheme="minorHAnsi" w:eastAsiaTheme="minorEastAsia" w:cstheme="minorBidi"/>
      <w:kern w:val="2"/>
      <w:sz w:val="18"/>
      <w:szCs w:val="18"/>
    </w:rPr>
  </w:style>
  <w:style w:type="character" w:customStyle="1" w:styleId="13">
    <w:name w:val="批注框文本 Char"/>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2390</Words>
  <Characters>2538</Characters>
  <Lines>3</Lines>
  <Paragraphs>5</Paragraphs>
  <TotalTime>17</TotalTime>
  <ScaleCrop>false</ScaleCrop>
  <LinksUpToDate>false</LinksUpToDate>
  <CharactersWithSpaces>2569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2023-04-19T02:16:00Z</dcterms:created>
  <dc:creator>张宇jladies</dc:creator>
  <cp:lastModifiedBy>.</cp:lastModifiedBy>
  <cp:lastPrinted>2023-04-25T00:38:00Z</cp:lastPrinted>
  <dcterms:modified xsi:type="dcterms:W3CDTF">2023-07-03T09:02:29Z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530C00488BEB4BAAB38DBB587E8ABEDD_13</vt:lpwstr>
  </property>
</Properties>
</file>