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22868">
      <w:pPr>
        <w:pStyle w:val="7"/>
        <w:overflowPunct w:val="0"/>
        <w:autoSpaceDE w:val="0"/>
        <w:spacing w:before="0" w:beforeAutospacing="0" w:after="0" w:afterAutospacing="0" w:line="600" w:lineRule="exact"/>
        <w:jc w:val="center"/>
        <w:rPr>
          <w:rFonts w:ascii="Times New Roman" w:hAnsi="Times New Roman" w:eastAsia="方正小标宋简体"/>
          <w:color w:val="000000" w:themeColor="text1"/>
          <w:sz w:val="44"/>
          <w:szCs w:val="44"/>
        </w:rPr>
      </w:pPr>
      <w:bookmarkStart w:id="1" w:name="_GoBack"/>
      <w:r>
        <w:rPr>
          <w:rFonts w:ascii="Times New Roman" w:hAnsi="Times New Roman" w:eastAsia="方正小标宋简体"/>
          <w:color w:val="000000" w:themeColor="text1"/>
          <w:sz w:val="44"/>
          <w:szCs w:val="44"/>
        </w:rPr>
        <w:t>淮北市交通运输局2022年</w:t>
      </w:r>
    </w:p>
    <w:p w14:paraId="7D45F0C3">
      <w:pPr>
        <w:pStyle w:val="7"/>
        <w:overflowPunct w:val="0"/>
        <w:autoSpaceDE w:val="0"/>
        <w:spacing w:before="0" w:beforeAutospacing="0" w:after="0" w:afterAutospacing="0" w:line="600" w:lineRule="exact"/>
        <w:jc w:val="center"/>
        <w:rPr>
          <w:rFonts w:ascii="Times New Roman" w:hAnsi="Times New Roman" w:eastAsia="方正小标宋简体"/>
          <w:color w:val="000000" w:themeColor="text1"/>
          <w:sz w:val="44"/>
          <w:szCs w:val="44"/>
        </w:rPr>
      </w:pPr>
      <w:r>
        <w:rPr>
          <w:rFonts w:ascii="Times New Roman" w:hAnsi="Times New Roman" w:eastAsia="方正小标宋简体"/>
          <w:color w:val="000000" w:themeColor="text1"/>
          <w:sz w:val="44"/>
          <w:szCs w:val="44"/>
        </w:rPr>
        <w:t>政府信息公开工作年度报告</w:t>
      </w:r>
    </w:p>
    <w:bookmarkEnd w:id="1"/>
    <w:p w14:paraId="3AD2DB3B">
      <w:pPr>
        <w:pStyle w:val="7"/>
        <w:overflowPunct w:val="0"/>
        <w:autoSpaceDE w:val="0"/>
        <w:spacing w:before="0" w:beforeAutospacing="0" w:after="0" w:afterAutospacing="0" w:line="600" w:lineRule="exact"/>
        <w:ind w:firstLine="640"/>
        <w:jc w:val="both"/>
        <w:rPr>
          <w:rFonts w:ascii="Times New Roman" w:hAnsi="Times New Roman"/>
          <w:color w:val="000000" w:themeColor="text1"/>
          <w:sz w:val="21"/>
          <w:szCs w:val="21"/>
        </w:rPr>
      </w:pPr>
    </w:p>
    <w:p w14:paraId="565C9E1F">
      <w:pPr>
        <w:pStyle w:val="7"/>
        <w:overflowPunct w:val="0"/>
        <w:autoSpaceDE w:val="0"/>
        <w:spacing w:before="0" w:beforeAutospacing="0" w:after="0" w:afterAutospacing="0" w:line="600" w:lineRule="exact"/>
        <w:ind w:firstLine="640"/>
        <w:jc w:val="both"/>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rPr>
        <w:t>根据《中华人民共和国政府信息公开条例》（国务院令第711号）规定，现发布《淮北市交通运输局2022年政府信息公开工作年度报告》。本年度报告电子版可从淮北市交通运输局网站（https://jtj.huaibei.gov.cn/）下载。</w:t>
      </w:r>
      <w:r>
        <w:rPr>
          <w:rFonts w:ascii="Times New Roman" w:hAnsi="Times New Roman" w:eastAsia="仿宋_GB2312"/>
          <w:color w:val="000000" w:themeColor="text1"/>
          <w:sz w:val="32"/>
          <w:szCs w:val="32"/>
          <w:shd w:val="clear" w:color="auto" w:fill="FFFFFF"/>
        </w:rPr>
        <w:t>本报告中所列数据的统计期限自2022年1月1日起至2022年12月31日止。如有疑问，请与淮北市交通运输局办公室联系。（地址：淮北市相山区淮海中路130号，邮编：235000，电话:0561-3809636）。</w:t>
      </w:r>
    </w:p>
    <w:p w14:paraId="28B5E400">
      <w:pPr>
        <w:pStyle w:val="7"/>
        <w:overflowPunct w:val="0"/>
        <w:autoSpaceDE w:val="0"/>
        <w:spacing w:before="0" w:beforeAutospacing="0" w:after="0" w:afterAutospacing="0" w:line="600" w:lineRule="exact"/>
        <w:ind w:firstLine="960" w:firstLineChars="300"/>
        <w:jc w:val="both"/>
        <w:rPr>
          <w:rFonts w:ascii="Times New Roman" w:hAnsi="Times New Roman" w:eastAsia="仿宋_GB2312"/>
          <w:color w:val="000000" w:themeColor="text1"/>
          <w:sz w:val="32"/>
          <w:szCs w:val="32"/>
          <w:shd w:val="clear" w:color="auto" w:fill="FFFFFF"/>
        </w:rPr>
      </w:pPr>
      <w:r>
        <w:rPr>
          <w:rFonts w:ascii="Times New Roman" w:hAnsi="Times New Roman" w:eastAsia="方正黑体_GBK"/>
          <w:color w:val="000000" w:themeColor="text1"/>
          <w:sz w:val="32"/>
          <w:szCs w:val="32"/>
        </w:rPr>
        <w:t>一、总体情况</w:t>
      </w:r>
    </w:p>
    <w:p w14:paraId="638391B0">
      <w:pPr>
        <w:pStyle w:val="7"/>
        <w:overflowPunct w:val="0"/>
        <w:autoSpaceDE w:val="0"/>
        <w:spacing w:before="0" w:beforeAutospacing="0" w:after="0" w:afterAutospacing="0" w:line="600" w:lineRule="exact"/>
        <w:ind w:firstLine="640"/>
        <w:jc w:val="both"/>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（一）主动公开情况</w:t>
      </w:r>
    </w:p>
    <w:p w14:paraId="1C646DB1">
      <w:pPr>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2022年我局认真贯彻落实新条例，围绕本年度政务公开重点工作任务部署，抓紧围绕交通运输领域重点、热点工作，进一步完善政务公开制度规范，强化重点领域信息公开，加大政策解读回应力度，政务公开标准化、规范化水平得到有效提升。出台《全市交通运输安全生产强化年实施方案》和《全市交通运输安全生产专项整治三年行动巩固提升工作方案》的通知。并配备文字解读，优化解读质量，丰富解读形式。经统计，截至2022年12月31日，全年主动公开政府信息597条。</w:t>
      </w:r>
    </w:p>
    <w:p w14:paraId="3863CE2F">
      <w:pPr>
        <w:pStyle w:val="2"/>
        <w:ind w:left="638"/>
        <w:rPr>
          <w:rFonts w:ascii="Times New Roman" w:hAnsi="Times New Roman"/>
          <w:color w:val="000000" w:themeColor="text1"/>
        </w:rPr>
      </w:pPr>
      <w:r>
        <w:rPr>
          <w:rFonts w:ascii="Times New Roman" w:hAnsi="Times New Roman"/>
          <w:color w:val="000000" w:themeColor="text1"/>
        </w:rPr>
        <w:drawing>
          <wp:inline distT="0" distB="0" distL="114300" distR="114300">
            <wp:extent cx="5357495" cy="3155950"/>
            <wp:effectExtent l="0" t="0" r="14605" b="6350"/>
            <wp:docPr id="1" name="图表 1" descr="7b0a202020202263686172745265734964223a202232303437323233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C77BFCB">
      <w:pPr>
        <w:pStyle w:val="7"/>
        <w:overflowPunct w:val="0"/>
        <w:autoSpaceDE w:val="0"/>
        <w:spacing w:before="0" w:beforeAutospacing="0" w:after="0" w:afterAutospacing="0" w:line="600" w:lineRule="exact"/>
        <w:ind w:firstLine="640"/>
        <w:jc w:val="both"/>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（二）依申请公开情况</w:t>
      </w:r>
    </w:p>
    <w:p w14:paraId="0C2DE1CA">
      <w:pPr>
        <w:pStyle w:val="7"/>
        <w:overflowPunct w:val="0"/>
        <w:autoSpaceDE w:val="0"/>
        <w:spacing w:before="0" w:beforeAutospacing="0" w:after="0" w:afterAutospacing="0" w:line="600" w:lineRule="exact"/>
        <w:ind w:firstLine="640"/>
        <w:jc w:val="both"/>
        <w:rPr>
          <w:rFonts w:ascii="Times New Roman" w:hAnsi="Times New Roman"/>
          <w:color w:val="000000" w:themeColor="text1"/>
          <w:sz w:val="21"/>
          <w:szCs w:val="21"/>
        </w:rPr>
      </w:pPr>
      <w:r>
        <w:rPr>
          <w:rFonts w:ascii="Times New Roman" w:hAnsi="Times New Roman" w:eastAsia="仿宋"/>
          <w:color w:val="000000" w:themeColor="text1"/>
          <w:sz w:val="32"/>
          <w:szCs w:val="32"/>
          <w:shd w:val="clear" w:color="auto" w:fill="FFFFFF"/>
        </w:rPr>
        <w:t>2022</w:t>
      </w:r>
      <w:r>
        <w:rPr>
          <w:rFonts w:ascii="Times New Roman" w:hAnsi="仿宋" w:eastAsia="仿宋"/>
          <w:color w:val="000000" w:themeColor="text1"/>
          <w:sz w:val="32"/>
          <w:szCs w:val="32"/>
          <w:shd w:val="clear" w:color="auto" w:fill="FFFFFF"/>
        </w:rPr>
        <w:t>年，我局共收到依申请公开办件</w:t>
      </w:r>
      <w:r>
        <w:rPr>
          <w:rFonts w:ascii="Times New Roman" w:hAnsi="Times New Roman" w:eastAsia="仿宋"/>
          <w:color w:val="000000" w:themeColor="text1"/>
          <w:sz w:val="32"/>
          <w:szCs w:val="32"/>
          <w:shd w:val="clear" w:color="auto" w:fill="FFFFFF"/>
        </w:rPr>
        <w:t>2</w:t>
      </w:r>
      <w:r>
        <w:rPr>
          <w:rFonts w:ascii="Times New Roman" w:hAnsi="仿宋" w:eastAsia="仿宋"/>
          <w:color w:val="000000" w:themeColor="text1"/>
          <w:sz w:val="32"/>
          <w:szCs w:val="32"/>
          <w:shd w:val="clear" w:color="auto" w:fill="FFFFFF"/>
        </w:rPr>
        <w:t>件，其中网络申请</w:t>
      </w:r>
      <w:r>
        <w:rPr>
          <w:rFonts w:ascii="Times New Roman" w:hAnsi="Times New Roman" w:eastAsia="仿宋"/>
          <w:color w:val="000000" w:themeColor="text1"/>
          <w:sz w:val="32"/>
          <w:szCs w:val="32"/>
          <w:shd w:val="clear" w:color="auto" w:fill="FFFFFF"/>
        </w:rPr>
        <w:t>1</w:t>
      </w:r>
      <w:r>
        <w:rPr>
          <w:rFonts w:ascii="Times New Roman" w:hAnsi="仿宋" w:eastAsia="仿宋"/>
          <w:color w:val="000000" w:themeColor="text1"/>
          <w:sz w:val="32"/>
          <w:szCs w:val="32"/>
          <w:shd w:val="clear" w:color="auto" w:fill="FFFFFF"/>
        </w:rPr>
        <w:t>件，信函申请</w:t>
      </w:r>
      <w:r>
        <w:rPr>
          <w:rFonts w:ascii="Times New Roman" w:hAnsi="Times New Roman" w:eastAsia="仿宋"/>
          <w:color w:val="000000" w:themeColor="text1"/>
          <w:sz w:val="32"/>
          <w:szCs w:val="32"/>
          <w:shd w:val="clear" w:color="auto" w:fill="FFFFFF"/>
        </w:rPr>
        <w:t>1</w:t>
      </w:r>
      <w:r>
        <w:rPr>
          <w:rFonts w:ascii="Times New Roman" w:hAnsi="仿宋" w:eastAsia="仿宋"/>
          <w:color w:val="000000" w:themeColor="text1"/>
          <w:sz w:val="32"/>
          <w:szCs w:val="32"/>
          <w:shd w:val="clear" w:color="auto" w:fill="FFFFFF"/>
        </w:rPr>
        <w:t>件。</w:t>
      </w:r>
      <w:r>
        <w:rPr>
          <w:rFonts w:hint="eastAsia" w:ascii="Times New Roman" w:hAnsi="仿宋" w:eastAsia="仿宋"/>
          <w:color w:val="000000" w:themeColor="text1"/>
          <w:sz w:val="32"/>
          <w:szCs w:val="32"/>
          <w:shd w:val="clear" w:color="auto" w:fill="FFFFFF"/>
        </w:rPr>
        <w:t>本年度</w:t>
      </w:r>
      <w:r>
        <w:rPr>
          <w:rFonts w:ascii="Times New Roman" w:hAnsi="仿宋" w:eastAsia="仿宋"/>
          <w:color w:val="000000" w:themeColor="text1"/>
          <w:sz w:val="32"/>
          <w:szCs w:val="32"/>
          <w:shd w:val="clear" w:color="auto" w:fill="FFFFFF"/>
        </w:rPr>
        <w:t>办结</w:t>
      </w:r>
      <w:r>
        <w:rPr>
          <w:rFonts w:hint="eastAsia" w:ascii="Times New Roman" w:hAnsi="仿宋" w:eastAsia="仿宋"/>
          <w:color w:val="000000" w:themeColor="text1"/>
          <w:sz w:val="32"/>
          <w:szCs w:val="32"/>
          <w:shd w:val="clear" w:color="auto" w:fill="FFFFFF"/>
        </w:rPr>
        <w:t>1</w:t>
      </w:r>
      <w:r>
        <w:rPr>
          <w:rFonts w:ascii="Times New Roman" w:hAnsi="仿宋" w:eastAsia="仿宋"/>
          <w:color w:val="000000" w:themeColor="text1"/>
          <w:sz w:val="32"/>
          <w:szCs w:val="32"/>
          <w:shd w:val="clear" w:color="auto" w:fill="FFFFFF"/>
        </w:rPr>
        <w:t>件，无不予公开、无法提供、不予处理的情形。存在</w:t>
      </w:r>
      <w:r>
        <w:rPr>
          <w:rFonts w:ascii="Times New Roman" w:hAnsi="Times New Roman" w:eastAsia="仿宋"/>
          <w:color w:val="000000" w:themeColor="text1"/>
          <w:sz w:val="32"/>
          <w:szCs w:val="32"/>
          <w:shd w:val="clear" w:color="auto" w:fill="FFFFFF"/>
        </w:rPr>
        <w:t>1</w:t>
      </w:r>
      <w:r>
        <w:rPr>
          <w:rFonts w:ascii="Times New Roman" w:hAnsi="仿宋" w:eastAsia="仿宋"/>
          <w:color w:val="000000" w:themeColor="text1"/>
          <w:sz w:val="32"/>
          <w:szCs w:val="32"/>
          <w:shd w:val="clear" w:color="auto" w:fill="FFFFFF"/>
        </w:rPr>
        <w:t>条需要结转下年度继续办理的情况。</w:t>
      </w:r>
      <w:bookmarkStart w:id="0" w:name="OLE_LINK5"/>
      <w:r>
        <w:rPr>
          <w:rFonts w:hint="eastAsia" w:ascii="Times New Roman" w:hAnsi="仿宋" w:eastAsia="仿宋"/>
          <w:color w:val="000000" w:themeColor="text1"/>
          <w:sz w:val="32"/>
          <w:szCs w:val="32"/>
          <w:shd w:val="clear" w:color="auto" w:fill="FFFFFF"/>
        </w:rPr>
        <w:t>2022年我局未发生政府信息公开行政复议和行政诉讼。</w:t>
      </w:r>
    </w:p>
    <w:bookmarkEnd w:id="0"/>
    <w:p w14:paraId="01833EF6">
      <w:pPr>
        <w:pStyle w:val="7"/>
        <w:overflowPunct w:val="0"/>
        <w:autoSpaceDE w:val="0"/>
        <w:spacing w:before="0" w:beforeAutospacing="0" w:after="0" w:afterAutospacing="0" w:line="600" w:lineRule="exact"/>
        <w:ind w:firstLine="640"/>
        <w:jc w:val="both"/>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（三）政府信息管理情况</w:t>
      </w:r>
    </w:p>
    <w:p w14:paraId="301AD9F7">
      <w:pPr>
        <w:pStyle w:val="7"/>
        <w:overflowPunct w:val="0"/>
        <w:autoSpaceDE w:val="0"/>
        <w:spacing w:before="0" w:beforeAutospacing="0" w:after="0" w:afterAutospacing="0" w:line="600" w:lineRule="exact"/>
        <w:ind w:firstLine="640"/>
        <w:jc w:val="both"/>
        <w:rPr>
          <w:rFonts w:ascii="Times New Roman" w:hAnsi="Times New Roman" w:eastAsia="仿宋_GB2312"/>
          <w:color w:val="000000" w:themeColor="text1"/>
          <w:sz w:val="21"/>
          <w:szCs w:val="21"/>
        </w:rPr>
      </w:pPr>
      <w:r>
        <w:rPr>
          <w:rFonts w:ascii="Times New Roman" w:hAnsi="Times New Roman" w:eastAsia="仿宋_GB2312"/>
          <w:color w:val="000000" w:themeColor="text1"/>
          <w:sz w:val="32"/>
          <w:szCs w:val="32"/>
        </w:rPr>
        <w:t>2022年，我局严格落实三审发布制度，由科室负责人、局分管领导审阅后进行发布。使政务公开工作更加制度化、规范化。依据规范性文件“立改废”栏目的备案情况，及时清理已废止的文件，及时做好现行有效的规范性文件的公开工作。我局严格遵守政府信息保密审查制度工作要求，全年修改敏感字、错别字200余条。</w:t>
      </w:r>
    </w:p>
    <w:p w14:paraId="33CB85A4">
      <w:pPr>
        <w:pStyle w:val="7"/>
        <w:overflowPunct w:val="0"/>
        <w:autoSpaceDE w:val="0"/>
        <w:spacing w:before="0" w:beforeAutospacing="0" w:after="0" w:afterAutospacing="0" w:line="600" w:lineRule="exact"/>
        <w:ind w:firstLine="640"/>
        <w:jc w:val="both"/>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（四）政府信息公开平台建设情况</w:t>
      </w:r>
    </w:p>
    <w:p w14:paraId="4D306883">
      <w:pPr>
        <w:shd w:val="clear" w:color="auto" w:fill="FFFFFF"/>
        <w:ind w:firstLine="640"/>
        <w:jc w:val="both"/>
        <w:rPr>
          <w:rFonts w:ascii="Times New Roman" w:hAnsi="Times New Roman" w:eastAsia="仿宋"/>
          <w:color w:val="000000" w:themeColor="text1"/>
          <w:sz w:val="21"/>
          <w:szCs w:val="21"/>
        </w:rPr>
      </w:pPr>
      <w:r>
        <w:rPr>
          <w:rFonts w:ascii="Times New Roman" w:hAnsi="仿宋" w:eastAsia="仿宋"/>
          <w:color w:val="000000" w:themeColor="text1"/>
          <w:sz w:val="32"/>
          <w:szCs w:val="32"/>
        </w:rPr>
        <w:t>淮北市交通运输局网站作为指定平台，按照要求进行政府信息公开工作。通过政府信息公开网、淮北市交通运输局网站、淮北交通运输微信、微博等新政务媒体平台，就百姓关心的公共交通、公路水运工程建设、</w:t>
      </w:r>
      <w:r>
        <w:rPr>
          <w:rFonts w:ascii="Times New Roman" w:hAnsi="Times New Roman" w:eastAsia="仿宋"/>
          <w:color w:val="000000" w:themeColor="text1"/>
          <w:sz w:val="32"/>
          <w:szCs w:val="32"/>
        </w:rPr>
        <w:t>“</w:t>
      </w:r>
      <w:r>
        <w:rPr>
          <w:rFonts w:ascii="Times New Roman" w:hAnsi="仿宋" w:eastAsia="仿宋"/>
          <w:color w:val="000000" w:themeColor="text1"/>
          <w:sz w:val="32"/>
          <w:szCs w:val="32"/>
        </w:rPr>
        <w:t>四好农村路</w:t>
      </w:r>
      <w:r>
        <w:rPr>
          <w:rFonts w:ascii="Times New Roman" w:hAnsi="Times New Roman" w:eastAsia="仿宋"/>
          <w:color w:val="000000" w:themeColor="text1"/>
          <w:sz w:val="32"/>
          <w:szCs w:val="32"/>
        </w:rPr>
        <w:t>”</w:t>
      </w:r>
      <w:r>
        <w:rPr>
          <w:rFonts w:ascii="Times New Roman" w:hAnsi="仿宋" w:eastAsia="仿宋"/>
          <w:color w:val="000000" w:themeColor="text1"/>
          <w:sz w:val="32"/>
          <w:szCs w:val="32"/>
        </w:rPr>
        <w:t>建设、</w:t>
      </w:r>
      <w:r>
        <w:rPr>
          <w:rFonts w:ascii="Times New Roman" w:hAnsi="Times New Roman" w:eastAsia="仿宋"/>
          <w:color w:val="000000" w:themeColor="text1"/>
          <w:sz w:val="32"/>
          <w:szCs w:val="32"/>
        </w:rPr>
        <w:t>“</w:t>
      </w:r>
      <w:r>
        <w:rPr>
          <w:rFonts w:ascii="Times New Roman" w:hAnsi="仿宋" w:eastAsia="仿宋"/>
          <w:color w:val="000000" w:themeColor="text1"/>
          <w:sz w:val="32"/>
          <w:szCs w:val="32"/>
        </w:rPr>
        <w:t>十四五</w:t>
      </w:r>
      <w:r>
        <w:rPr>
          <w:rFonts w:ascii="Times New Roman" w:hAnsi="Times New Roman" w:eastAsia="仿宋"/>
          <w:color w:val="000000" w:themeColor="text1"/>
          <w:sz w:val="32"/>
          <w:szCs w:val="32"/>
        </w:rPr>
        <w:t>”</w:t>
      </w:r>
      <w:r>
        <w:rPr>
          <w:rFonts w:ascii="Times New Roman" w:hAnsi="仿宋" w:eastAsia="仿宋"/>
          <w:color w:val="000000" w:themeColor="text1"/>
          <w:sz w:val="32"/>
          <w:szCs w:val="32"/>
        </w:rPr>
        <w:t>综合交通发展规划等相关问题进行广泛宣传，充分保障公众知情权。</w:t>
      </w:r>
    </w:p>
    <w:p w14:paraId="69C90437">
      <w:pPr>
        <w:shd w:val="clear" w:color="auto" w:fill="FFFFFF"/>
        <w:ind w:firstLine="640"/>
        <w:jc w:val="both"/>
        <w:rPr>
          <w:rFonts w:ascii="Times New Roman" w:hAnsi="Times New Roman"/>
          <w:color w:val="000000" w:themeColor="text1"/>
          <w:sz w:val="21"/>
          <w:szCs w:val="21"/>
        </w:rPr>
      </w:pPr>
      <w:r>
        <w:rPr>
          <w:rFonts w:ascii="Times New Roman" w:hAnsi="仿宋" w:eastAsia="仿宋"/>
          <w:color w:val="000000" w:themeColor="text1"/>
          <w:sz w:val="32"/>
          <w:szCs w:val="32"/>
          <w:shd w:val="clear" w:color="auto" w:fill="FFFFFF"/>
        </w:rPr>
        <w:t>同时，我局不断优化网站栏目设置，切实增强政务公开的全面性。</w:t>
      </w:r>
      <w:r>
        <w:rPr>
          <w:rFonts w:ascii="Times New Roman" w:hAnsi="仿宋" w:eastAsia="仿宋"/>
          <w:color w:val="000000" w:themeColor="text1"/>
          <w:sz w:val="32"/>
          <w:szCs w:val="32"/>
        </w:rPr>
        <w:t>同时，安排专人负责各渠道网友留言的接办、答复工作，积极回应广大市民对公共出行、国省干线建设、出租车等热点问题。</w:t>
      </w:r>
    </w:p>
    <w:p w14:paraId="6C74FFDA">
      <w:pPr>
        <w:pStyle w:val="7"/>
        <w:overflowPunct w:val="0"/>
        <w:autoSpaceDE w:val="0"/>
        <w:spacing w:before="0" w:beforeAutospacing="0" w:after="0" w:afterAutospacing="0" w:line="600" w:lineRule="exact"/>
        <w:ind w:firstLine="640"/>
        <w:jc w:val="both"/>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（五）监督保障情况</w:t>
      </w:r>
    </w:p>
    <w:p w14:paraId="217BB0D6">
      <w:pPr>
        <w:ind w:firstLine="645"/>
        <w:rPr>
          <w:rFonts w:ascii="Times New Roman" w:hAnsi="Times New Roman" w:eastAsia="仿宋_GB2312"/>
          <w:color w:val="000000" w:themeColor="text1"/>
          <w:sz w:val="32"/>
          <w:szCs w:val="32"/>
        </w:rPr>
      </w:pPr>
      <w:r>
        <w:rPr>
          <w:rFonts w:ascii="Times New Roman" w:hAnsi="仿宋" w:eastAsia="仿宋"/>
          <w:color w:val="000000" w:themeColor="text1"/>
          <w:sz w:val="32"/>
          <w:szCs w:val="32"/>
        </w:rPr>
        <w:t>严格落实政务公开责任追究制度与社会评议制度，一是建立考核制度，每季度对机关各科室进行考核，对工作落后、不积极的科室负责人进行通报。二是</w:t>
      </w:r>
      <w:r>
        <w:rPr>
          <w:rFonts w:ascii="Times New Roman" w:hAnsi="仿宋" w:eastAsia="仿宋"/>
          <w:color w:val="000000" w:themeColor="text1"/>
          <w:sz w:val="32"/>
          <w:szCs w:val="32"/>
          <w:shd w:val="clear" w:color="auto" w:fill="FFFFFF"/>
        </w:rPr>
        <w:t>定期参加市政府和省厅政务公开培训会，积极落实整改工作。</w:t>
      </w:r>
      <w:r>
        <w:rPr>
          <w:rFonts w:ascii="Times New Roman" w:hAnsi="Times New Roman" w:eastAsia="仿宋_GB2312"/>
          <w:color w:val="000000" w:themeColor="text1"/>
          <w:sz w:val="32"/>
          <w:szCs w:val="32"/>
        </w:rPr>
        <w:t>三是认真落实信息公开审查机制，严格落实信息发布制度，坚决杜绝隐私泄露问题，全面做好政府信息公开工作。</w:t>
      </w:r>
    </w:p>
    <w:p w14:paraId="7F8DEC0E">
      <w:pPr>
        <w:shd w:val="clear" w:color="auto" w:fill="FFFFFF"/>
        <w:ind w:firstLine="480"/>
        <w:jc w:val="both"/>
        <w:rPr>
          <w:rFonts w:ascii="Times New Roman" w:hAnsi="Times New Roman"/>
          <w:color w:val="000000" w:themeColor="text1"/>
        </w:rPr>
      </w:pPr>
      <w:r>
        <w:rPr>
          <w:rFonts w:ascii="Times New Roman" w:hAnsi="Times New Roman" w:eastAsia="仿宋"/>
          <w:color w:val="000000" w:themeColor="text1"/>
          <w:sz w:val="32"/>
          <w:szCs w:val="32"/>
        </w:rPr>
        <w:t>2022</w:t>
      </w:r>
      <w:r>
        <w:rPr>
          <w:rFonts w:ascii="Times New Roman" w:hAnsi="仿宋" w:eastAsia="仿宋"/>
          <w:color w:val="000000" w:themeColor="text1"/>
          <w:sz w:val="32"/>
          <w:szCs w:val="32"/>
        </w:rPr>
        <w:t>年我局未发生因不履行政务公开义务而发生的责任追究情况。</w:t>
      </w:r>
    </w:p>
    <w:p w14:paraId="3787F8C2">
      <w:pPr>
        <w:pStyle w:val="7"/>
        <w:overflowPunct w:val="0"/>
        <w:autoSpaceDE w:val="0"/>
        <w:spacing w:before="0" w:beforeAutospacing="0" w:after="0" w:afterAutospacing="0" w:line="600" w:lineRule="atLeast"/>
        <w:ind w:firstLine="640"/>
        <w:jc w:val="both"/>
        <w:rPr>
          <w:rFonts w:ascii="Times New Roman" w:hAnsi="Times New Roman"/>
          <w:color w:val="000000" w:themeColor="text1"/>
          <w:sz w:val="21"/>
          <w:szCs w:val="21"/>
        </w:rPr>
      </w:pPr>
      <w:r>
        <w:rPr>
          <w:rFonts w:ascii="Times New Roman" w:hAnsi="Times New Roman" w:eastAsia="方正黑体_GBK"/>
          <w:color w:val="000000" w:themeColor="text1"/>
          <w:sz w:val="32"/>
          <w:szCs w:val="32"/>
        </w:rPr>
        <w:t>二、主动公开政府信息情况</w:t>
      </w:r>
    </w:p>
    <w:tbl>
      <w:tblPr>
        <w:tblStyle w:val="8"/>
        <w:tblW w:w="9473" w:type="dxa"/>
        <w:jc w:val="center"/>
        <w:tblBorders>
          <w:top w:val="none" w:color="333333" w:sz="6" w:space="0"/>
          <w:left w:val="none" w:color="333333" w:sz="6" w:space="0"/>
          <w:bottom w:val="none" w:color="333333" w:sz="6" w:space="0"/>
          <w:right w:val="non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168"/>
      </w:tblGrid>
      <w:tr w14:paraId="4EF21BB4">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57" w:type="dxa"/>
              <w:bottom w:w="0" w:type="dxa"/>
              <w:right w:w="57" w:type="dxa"/>
            </w:tcMar>
            <w:vAlign w:val="center"/>
          </w:tcPr>
          <w:p w14:paraId="738E9EE6">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第二十条第（一）项</w:t>
            </w:r>
          </w:p>
        </w:tc>
      </w:tr>
      <w:tr w14:paraId="1BE00729">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14:paraId="0B768283">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信息内容</w:t>
            </w:r>
          </w:p>
        </w:tc>
        <w:tc>
          <w:tcPr>
            <w:tcW w:w="2435" w:type="dxa"/>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14:paraId="40DE064A">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本年制发件数</w:t>
            </w:r>
          </w:p>
        </w:tc>
        <w:tc>
          <w:tcPr>
            <w:tcW w:w="2435" w:type="dxa"/>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14:paraId="5781029F">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本年废止件数</w:t>
            </w:r>
          </w:p>
        </w:tc>
        <w:tc>
          <w:tcPr>
            <w:tcW w:w="2168" w:type="dxa"/>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14:paraId="2D58CB56">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现行有效件数</w:t>
            </w:r>
          </w:p>
        </w:tc>
      </w:tr>
      <w:tr w14:paraId="7AB804FD">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14:paraId="1565CE8A">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规章</w:t>
            </w:r>
          </w:p>
        </w:tc>
        <w:tc>
          <w:tcPr>
            <w:tcW w:w="2435"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1639669">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2435"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EF74DA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216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ED9E74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68472AF6">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14:paraId="060D8819">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行政规范性文件</w:t>
            </w:r>
          </w:p>
        </w:tc>
        <w:tc>
          <w:tcPr>
            <w:tcW w:w="2435"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F89629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2435"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B1C6E7B">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216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0D59E19">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582F7D87">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nil"/>
              <w:left w:val="single" w:color="auto" w:sz="8" w:space="0"/>
              <w:bottom w:val="single" w:color="auto" w:sz="8" w:space="0"/>
              <w:right w:val="single" w:color="auto" w:sz="8" w:space="0"/>
            </w:tcBorders>
            <w:shd w:val="clear" w:color="auto" w:fill="C6D9F1"/>
            <w:noWrap/>
            <w:tcMar>
              <w:top w:w="0" w:type="dxa"/>
              <w:left w:w="57" w:type="dxa"/>
              <w:bottom w:w="0" w:type="dxa"/>
              <w:right w:w="57" w:type="dxa"/>
            </w:tcMar>
            <w:vAlign w:val="center"/>
          </w:tcPr>
          <w:p w14:paraId="016A9A11">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第二十条第（五）项</w:t>
            </w:r>
          </w:p>
        </w:tc>
      </w:tr>
      <w:tr w14:paraId="6AECF181">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14:paraId="272DD500">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信息内容</w:t>
            </w:r>
          </w:p>
        </w:tc>
        <w:tc>
          <w:tcPr>
            <w:tcW w:w="7038" w:type="dxa"/>
            <w:gridSpan w:val="3"/>
            <w:tcBorders>
              <w:top w:val="nil"/>
              <w:left w:val="nil"/>
              <w:bottom w:val="single" w:color="auto" w:sz="8" w:space="0"/>
              <w:right w:val="single" w:color="auto" w:sz="8" w:space="0"/>
            </w:tcBorders>
            <w:noWrap/>
            <w:tcMar>
              <w:top w:w="0" w:type="dxa"/>
              <w:left w:w="57" w:type="dxa"/>
              <w:bottom w:w="0" w:type="dxa"/>
              <w:right w:w="57" w:type="dxa"/>
            </w:tcMar>
            <w:vAlign w:val="center"/>
          </w:tcPr>
          <w:p w14:paraId="0347AD7B">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本年处理决定数量</w:t>
            </w:r>
          </w:p>
        </w:tc>
      </w:tr>
      <w:tr w14:paraId="01E206B4">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14:paraId="5FF621E8">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行政许可</w:t>
            </w:r>
          </w:p>
        </w:tc>
        <w:tc>
          <w:tcPr>
            <w:tcW w:w="7038" w:type="dxa"/>
            <w:gridSpan w:val="3"/>
            <w:tcBorders>
              <w:top w:val="nil"/>
              <w:left w:val="nil"/>
              <w:bottom w:val="single" w:color="auto" w:sz="8" w:space="0"/>
              <w:right w:val="single" w:color="auto" w:sz="8" w:space="0"/>
            </w:tcBorders>
            <w:noWrap/>
            <w:tcMar>
              <w:top w:w="0" w:type="dxa"/>
              <w:left w:w="57" w:type="dxa"/>
              <w:bottom w:w="0" w:type="dxa"/>
              <w:right w:w="57" w:type="dxa"/>
            </w:tcMar>
            <w:vAlign w:val="center"/>
          </w:tcPr>
          <w:p w14:paraId="4356DAB1">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 </w:t>
            </w:r>
            <w:r>
              <w:rPr>
                <w:rFonts w:hint="eastAsia" w:ascii="Times New Roman" w:hAnsi="Times New Roman"/>
                <w:color w:val="000000" w:themeColor="text1"/>
                <w:sz w:val="20"/>
                <w:szCs w:val="20"/>
              </w:rPr>
              <w:t>127</w:t>
            </w:r>
          </w:p>
        </w:tc>
      </w:tr>
      <w:tr w14:paraId="461E9FF5">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nil"/>
              <w:left w:val="single" w:color="auto" w:sz="8" w:space="0"/>
              <w:bottom w:val="single" w:color="auto" w:sz="8" w:space="0"/>
              <w:right w:val="single" w:color="auto" w:sz="8" w:space="0"/>
            </w:tcBorders>
            <w:shd w:val="clear" w:color="auto" w:fill="C6D9F1"/>
            <w:noWrap/>
            <w:tcMar>
              <w:top w:w="0" w:type="dxa"/>
              <w:left w:w="57" w:type="dxa"/>
              <w:bottom w:w="0" w:type="dxa"/>
              <w:right w:w="57" w:type="dxa"/>
            </w:tcMar>
            <w:vAlign w:val="center"/>
          </w:tcPr>
          <w:p w14:paraId="70CE0CA1">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第二十条第（六）项</w:t>
            </w:r>
          </w:p>
        </w:tc>
      </w:tr>
      <w:tr w14:paraId="4BA24B7E">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14:paraId="581CD6F1">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信息内容</w:t>
            </w:r>
          </w:p>
        </w:tc>
        <w:tc>
          <w:tcPr>
            <w:tcW w:w="7038" w:type="dxa"/>
            <w:gridSpan w:val="3"/>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14:paraId="6FFE8FF7">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本年处理决定数量</w:t>
            </w:r>
          </w:p>
        </w:tc>
      </w:tr>
      <w:tr w14:paraId="06D48F6E">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14:paraId="344143F5">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行政处罚</w:t>
            </w:r>
          </w:p>
        </w:tc>
        <w:tc>
          <w:tcPr>
            <w:tcW w:w="7038" w:type="dxa"/>
            <w:gridSpan w:val="3"/>
            <w:tcBorders>
              <w:top w:val="nil"/>
              <w:left w:val="nil"/>
              <w:bottom w:val="single" w:color="auto" w:sz="8" w:space="0"/>
              <w:right w:val="single" w:color="auto" w:sz="8" w:space="0"/>
            </w:tcBorders>
            <w:noWrap/>
            <w:tcMar>
              <w:top w:w="0" w:type="dxa"/>
              <w:left w:w="57" w:type="dxa"/>
              <w:bottom w:w="0" w:type="dxa"/>
              <w:right w:w="57" w:type="dxa"/>
            </w:tcMar>
            <w:vAlign w:val="center"/>
          </w:tcPr>
          <w:p w14:paraId="3404874A">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2956</w:t>
            </w:r>
          </w:p>
        </w:tc>
      </w:tr>
      <w:tr w14:paraId="2F0B9162">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14:paraId="2FB77801">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行政强制</w:t>
            </w:r>
          </w:p>
        </w:tc>
        <w:tc>
          <w:tcPr>
            <w:tcW w:w="7038" w:type="dxa"/>
            <w:gridSpan w:val="3"/>
            <w:tcBorders>
              <w:top w:val="nil"/>
              <w:left w:val="nil"/>
              <w:bottom w:val="single" w:color="auto" w:sz="8" w:space="0"/>
              <w:right w:val="single" w:color="auto" w:sz="8" w:space="0"/>
            </w:tcBorders>
            <w:noWrap/>
            <w:tcMar>
              <w:top w:w="0" w:type="dxa"/>
              <w:left w:w="57" w:type="dxa"/>
              <w:bottom w:w="0" w:type="dxa"/>
              <w:right w:w="57" w:type="dxa"/>
            </w:tcMar>
            <w:vAlign w:val="center"/>
          </w:tcPr>
          <w:p w14:paraId="36AD5068">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5B3B86C6">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nil"/>
              <w:left w:val="single" w:color="auto" w:sz="8" w:space="0"/>
              <w:bottom w:val="single" w:color="auto" w:sz="8" w:space="0"/>
              <w:right w:val="single" w:color="auto" w:sz="8" w:space="0"/>
            </w:tcBorders>
            <w:shd w:val="clear" w:color="auto" w:fill="C6D9F1"/>
            <w:noWrap/>
            <w:tcMar>
              <w:top w:w="0" w:type="dxa"/>
              <w:left w:w="57" w:type="dxa"/>
              <w:bottom w:w="0" w:type="dxa"/>
              <w:right w:w="57" w:type="dxa"/>
            </w:tcMar>
            <w:vAlign w:val="center"/>
          </w:tcPr>
          <w:p w14:paraId="1A028BED">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第二十条第（八）项</w:t>
            </w:r>
          </w:p>
        </w:tc>
      </w:tr>
      <w:tr w14:paraId="0AF23325">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14:paraId="40610B87">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信息内容</w:t>
            </w:r>
          </w:p>
        </w:tc>
        <w:tc>
          <w:tcPr>
            <w:tcW w:w="7038" w:type="dxa"/>
            <w:gridSpan w:val="3"/>
            <w:tcBorders>
              <w:top w:val="nil"/>
              <w:left w:val="nil"/>
              <w:bottom w:val="single" w:color="auto" w:sz="8" w:space="0"/>
              <w:right w:val="single" w:color="000000" w:sz="8" w:space="0"/>
            </w:tcBorders>
            <w:noWrap/>
            <w:tcMar>
              <w:top w:w="0" w:type="dxa"/>
              <w:left w:w="57" w:type="dxa"/>
              <w:bottom w:w="0" w:type="dxa"/>
              <w:right w:w="57" w:type="dxa"/>
            </w:tcMar>
            <w:vAlign w:val="center"/>
          </w:tcPr>
          <w:p w14:paraId="6FC1FB37">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本年收费金额（单位：万元）</w:t>
            </w:r>
          </w:p>
        </w:tc>
      </w:tr>
      <w:tr w14:paraId="39AABA36">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14:paraId="5A402163">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行政事业性收费</w:t>
            </w:r>
          </w:p>
        </w:tc>
        <w:tc>
          <w:tcPr>
            <w:tcW w:w="7038" w:type="dxa"/>
            <w:gridSpan w:val="3"/>
            <w:tcBorders>
              <w:top w:val="nil"/>
              <w:left w:val="nil"/>
              <w:bottom w:val="single" w:color="auto" w:sz="8" w:space="0"/>
              <w:right w:val="single" w:color="000000" w:sz="8" w:space="0"/>
            </w:tcBorders>
            <w:noWrap/>
            <w:tcMar>
              <w:top w:w="0" w:type="dxa"/>
              <w:left w:w="57" w:type="dxa"/>
              <w:bottom w:w="0" w:type="dxa"/>
              <w:right w:w="57" w:type="dxa"/>
            </w:tcMar>
            <w:vAlign w:val="center"/>
          </w:tcPr>
          <w:p w14:paraId="3C473434">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1"/>
                <w:szCs w:val="21"/>
              </w:rPr>
              <w:t>0</w:t>
            </w:r>
          </w:p>
        </w:tc>
      </w:tr>
    </w:tbl>
    <w:p w14:paraId="0E9D005D">
      <w:pPr>
        <w:pStyle w:val="7"/>
        <w:overflowPunct w:val="0"/>
        <w:autoSpaceDE w:val="0"/>
        <w:spacing w:before="0" w:beforeAutospacing="0" w:after="0" w:afterAutospacing="0" w:line="600" w:lineRule="atLeast"/>
        <w:ind w:firstLine="640"/>
        <w:jc w:val="both"/>
        <w:rPr>
          <w:rFonts w:ascii="Times New Roman" w:hAnsi="Times New Roman"/>
          <w:color w:val="000000" w:themeColor="text1"/>
          <w:sz w:val="21"/>
          <w:szCs w:val="21"/>
        </w:rPr>
      </w:pPr>
      <w:r>
        <w:rPr>
          <w:rFonts w:ascii="Times New Roman" w:hAnsi="Times New Roman" w:eastAsia="方正黑体_GBK"/>
          <w:color w:val="000000" w:themeColor="text1"/>
          <w:sz w:val="32"/>
          <w:szCs w:val="32"/>
        </w:rPr>
        <w:t>三、收到和处理政府信息公开申请情况</w:t>
      </w:r>
    </w:p>
    <w:tbl>
      <w:tblPr>
        <w:tblStyle w:val="8"/>
        <w:tblW w:w="9748"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14:paraId="1CD8BFBF">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tcMar>
              <w:top w:w="0" w:type="dxa"/>
              <w:left w:w="108" w:type="dxa"/>
              <w:bottom w:w="0" w:type="dxa"/>
              <w:right w:w="108" w:type="dxa"/>
            </w:tcMar>
            <w:vAlign w:val="center"/>
          </w:tcPr>
          <w:p w14:paraId="5958532C">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eastAsia="楷体"/>
                <w:color w:val="000000" w:themeColor="text1"/>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14:paraId="6B828EB5">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申请人情况</w:t>
            </w:r>
          </w:p>
        </w:tc>
      </w:tr>
      <w:tr w14:paraId="1D195424">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tcMar>
              <w:top w:w="0" w:type="dxa"/>
              <w:left w:w="108" w:type="dxa"/>
              <w:bottom w:w="0" w:type="dxa"/>
              <w:right w:w="108" w:type="dxa"/>
            </w:tcMar>
            <w:vAlign w:val="center"/>
          </w:tcPr>
          <w:p w14:paraId="3CEDF3CA">
            <w:pPr>
              <w:rPr>
                <w:rFonts w:ascii="Times New Roman" w:hAnsi="Times New Roman"/>
                <w:color w:val="000000" w:themeColor="text1"/>
                <w:sz w:val="21"/>
                <w:szCs w:val="21"/>
              </w:rPr>
            </w:pPr>
          </w:p>
        </w:tc>
        <w:tc>
          <w:tcPr>
            <w:tcW w:w="688" w:type="dxa"/>
            <w:vMerge w:val="restart"/>
            <w:tcBorders>
              <w:top w:val="nil"/>
              <w:left w:val="nil"/>
              <w:bottom w:val="single" w:color="auto" w:sz="8" w:space="0"/>
              <w:right w:val="single" w:color="auto" w:sz="8" w:space="0"/>
            </w:tcBorders>
            <w:noWrap/>
            <w:tcMar>
              <w:top w:w="0" w:type="dxa"/>
              <w:left w:w="57" w:type="dxa"/>
              <w:bottom w:w="0" w:type="dxa"/>
              <w:right w:w="57" w:type="dxa"/>
            </w:tcMar>
            <w:vAlign w:val="center"/>
          </w:tcPr>
          <w:p w14:paraId="7D308F1D">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自然人</w:t>
            </w:r>
          </w:p>
        </w:tc>
        <w:tc>
          <w:tcPr>
            <w:tcW w:w="3440" w:type="dxa"/>
            <w:gridSpan w:val="5"/>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18B6255">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法人或其他组织</w:t>
            </w:r>
          </w:p>
        </w:tc>
        <w:tc>
          <w:tcPr>
            <w:tcW w:w="689" w:type="dxa"/>
            <w:vMerge w:val="restart"/>
            <w:tcBorders>
              <w:top w:val="single" w:color="auto" w:sz="8" w:space="0"/>
              <w:left w:val="nil"/>
              <w:bottom w:val="outset" w:color="auto" w:sz="8" w:space="0"/>
              <w:right w:val="single" w:color="auto" w:sz="8" w:space="0"/>
            </w:tcBorders>
            <w:noWrap/>
            <w:tcMar>
              <w:top w:w="0" w:type="dxa"/>
              <w:left w:w="108" w:type="dxa"/>
              <w:bottom w:w="0" w:type="dxa"/>
              <w:right w:w="108" w:type="dxa"/>
            </w:tcMar>
            <w:vAlign w:val="center"/>
          </w:tcPr>
          <w:p w14:paraId="6803F613">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总计</w:t>
            </w:r>
          </w:p>
        </w:tc>
      </w:tr>
      <w:tr w14:paraId="7717BCBD">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688"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tcMar>
              <w:top w:w="0" w:type="dxa"/>
              <w:left w:w="108" w:type="dxa"/>
              <w:bottom w:w="0" w:type="dxa"/>
              <w:right w:w="108" w:type="dxa"/>
            </w:tcMar>
            <w:vAlign w:val="center"/>
          </w:tcPr>
          <w:p w14:paraId="2628E5B7">
            <w:pPr>
              <w:rPr>
                <w:rFonts w:ascii="Times New Roman" w:hAnsi="Times New Roman"/>
                <w:color w:val="000000" w:themeColor="text1"/>
                <w:sz w:val="21"/>
                <w:szCs w:val="21"/>
              </w:rPr>
            </w:pPr>
          </w:p>
        </w:tc>
        <w:tc>
          <w:tcPr>
            <w:tcW w:w="688" w:type="dxa"/>
            <w:vMerge w:val="continue"/>
            <w:tcBorders>
              <w:top w:val="nil"/>
              <w:left w:val="nil"/>
              <w:bottom w:val="single" w:color="auto" w:sz="8" w:space="0"/>
              <w:right w:val="single" w:color="auto" w:sz="8" w:space="0"/>
            </w:tcBorders>
            <w:noWrap/>
            <w:tcMar>
              <w:top w:w="0" w:type="dxa"/>
              <w:left w:w="57" w:type="dxa"/>
              <w:bottom w:w="0" w:type="dxa"/>
              <w:right w:w="57" w:type="dxa"/>
            </w:tcMar>
            <w:vAlign w:val="center"/>
          </w:tcPr>
          <w:p w14:paraId="5560374A">
            <w:pPr>
              <w:rPr>
                <w:rFonts w:ascii="Times New Roman" w:hAnsi="Times New Roman"/>
                <w:color w:val="000000" w:themeColor="text1"/>
                <w:sz w:val="21"/>
                <w:szCs w:val="21"/>
              </w:rPr>
            </w:pP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A07FEC8">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商业</w:t>
            </w:r>
          </w:p>
          <w:p w14:paraId="76F73899">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企业</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2CE80AD">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科研</w:t>
            </w:r>
          </w:p>
          <w:p w14:paraId="45D3B1DE">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机构</w:t>
            </w:r>
          </w:p>
        </w:tc>
        <w:tc>
          <w:tcPr>
            <w:tcW w:w="68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D46F055">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社会公益组织</w:t>
            </w:r>
          </w:p>
        </w:tc>
        <w:tc>
          <w:tcPr>
            <w:tcW w:w="68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103A735">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法律服务机构</w:t>
            </w:r>
          </w:p>
        </w:tc>
        <w:tc>
          <w:tcPr>
            <w:tcW w:w="68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70FA59D">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其他</w:t>
            </w:r>
          </w:p>
        </w:tc>
        <w:tc>
          <w:tcPr>
            <w:tcW w:w="689" w:type="dxa"/>
            <w:vMerge w:val="continue"/>
            <w:tcBorders>
              <w:top w:val="single" w:color="auto" w:sz="8" w:space="0"/>
              <w:left w:val="nil"/>
              <w:bottom w:val="outset" w:color="auto" w:sz="8" w:space="0"/>
              <w:right w:val="single" w:color="auto" w:sz="8" w:space="0"/>
            </w:tcBorders>
            <w:noWrap/>
            <w:tcMar>
              <w:top w:w="0" w:type="dxa"/>
              <w:left w:w="108" w:type="dxa"/>
              <w:bottom w:w="0" w:type="dxa"/>
              <w:right w:w="108" w:type="dxa"/>
            </w:tcMar>
            <w:vAlign w:val="center"/>
          </w:tcPr>
          <w:p w14:paraId="6CA25AF1">
            <w:pPr>
              <w:rPr>
                <w:rFonts w:ascii="Times New Roman" w:hAnsi="Times New Roman"/>
                <w:color w:val="000000" w:themeColor="text1"/>
                <w:sz w:val="21"/>
                <w:szCs w:val="21"/>
              </w:rPr>
            </w:pPr>
          </w:p>
        </w:tc>
      </w:tr>
      <w:tr w14:paraId="0EDD060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507" w:hRule="atLeast"/>
          <w:jc w:val="center"/>
        </w:trPr>
        <w:tc>
          <w:tcPr>
            <w:tcW w:w="4931" w:type="dxa"/>
            <w:gridSpan w:val="3"/>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14:paraId="4867A087">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一、本年新收政府信息公开申请数量</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F82632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2</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F48F0F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C341AD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0A7D010">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9E5C92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C711045">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28DEF3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2</w:t>
            </w:r>
          </w:p>
        </w:tc>
      </w:tr>
      <w:tr w14:paraId="4F7BE337">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4931" w:type="dxa"/>
            <w:gridSpan w:val="3"/>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14:paraId="0E4F9245">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二、上年结转政府信息公开申请数量</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30536BA">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311DDE0">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279B4BB">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AFC2F4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E1663D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53F43CA">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417A53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344DFB09">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512" w:hRule="atLeast"/>
          <w:jc w:val="center"/>
        </w:trPr>
        <w:tc>
          <w:tcPr>
            <w:tcW w:w="768" w:type="dxa"/>
            <w:vMerge w:val="restart"/>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5184DF53">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三、本年度办理结果</w:t>
            </w:r>
          </w:p>
        </w:tc>
        <w:tc>
          <w:tcPr>
            <w:tcW w:w="4163" w:type="dxa"/>
            <w:gridSpan w:val="2"/>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14:paraId="685F8536">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（一）予以公开</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9FF8F78">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82EA0AA">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191B71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EE17DA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3064EEF">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B43D2A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14:paraId="2878CDBD">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1"/>
                <w:szCs w:val="21"/>
              </w:rPr>
              <w:t>0</w:t>
            </w:r>
          </w:p>
        </w:tc>
      </w:tr>
      <w:tr w14:paraId="09155BA6">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879" w:hRule="atLeast"/>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1CAF4CB3">
            <w:pPr>
              <w:rPr>
                <w:rFonts w:ascii="Times New Roman" w:hAnsi="Times New Roman"/>
                <w:color w:val="000000" w:themeColor="text1"/>
                <w:sz w:val="21"/>
                <w:szCs w:val="21"/>
              </w:rPr>
            </w:pPr>
          </w:p>
        </w:tc>
        <w:tc>
          <w:tcPr>
            <w:tcW w:w="4163" w:type="dxa"/>
            <w:gridSpan w:val="2"/>
            <w:tcBorders>
              <w:top w:val="nil"/>
              <w:left w:val="nil"/>
              <w:bottom w:val="single" w:color="auto" w:sz="8" w:space="0"/>
              <w:right w:val="single" w:color="auto" w:sz="8" w:space="0"/>
            </w:tcBorders>
            <w:noWrap/>
            <w:tcMar>
              <w:top w:w="0" w:type="dxa"/>
              <w:left w:w="57" w:type="dxa"/>
              <w:bottom w:w="0" w:type="dxa"/>
              <w:right w:w="57" w:type="dxa"/>
            </w:tcMar>
            <w:vAlign w:val="center"/>
          </w:tcPr>
          <w:p w14:paraId="4F98A13C">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（二）部分公开</w:t>
            </w:r>
            <w:r>
              <w:rPr>
                <w:rFonts w:ascii="Times New Roman" w:hAnsi="Times New Roman" w:eastAsia="楷体"/>
                <w:color w:val="000000" w:themeColor="text1"/>
                <w:sz w:val="20"/>
                <w:szCs w:val="20"/>
              </w:rPr>
              <w:t>（区分处理的，只计这一情形，不计其他情形）</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062E09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9AB48A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D8113E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A938725">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1261D7A">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DA81ED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8E7316B">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17539FA7">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restart"/>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0846F647">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1"/>
                <w:szCs w:val="21"/>
              </w:rPr>
              <w:t> </w:t>
            </w:r>
          </w:p>
        </w:tc>
        <w:tc>
          <w:tcPr>
            <w:tcW w:w="943" w:type="dxa"/>
            <w:vMerge w:val="restart"/>
            <w:tcBorders>
              <w:top w:val="nil"/>
              <w:left w:val="nil"/>
              <w:bottom w:val="outset" w:color="auto" w:sz="8" w:space="0"/>
              <w:right w:val="single" w:color="auto" w:sz="8" w:space="0"/>
            </w:tcBorders>
            <w:noWrap/>
            <w:tcMar>
              <w:top w:w="0" w:type="dxa"/>
              <w:left w:w="57" w:type="dxa"/>
              <w:bottom w:w="0" w:type="dxa"/>
              <w:right w:w="57" w:type="dxa"/>
            </w:tcMar>
            <w:vAlign w:val="center"/>
          </w:tcPr>
          <w:p w14:paraId="4002B79B">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（三）不予公开</w:t>
            </w:r>
          </w:p>
        </w:tc>
        <w:tc>
          <w:tcPr>
            <w:tcW w:w="3220" w:type="dxa"/>
            <w:tcBorders>
              <w:top w:val="single" w:color="auto" w:sz="8" w:space="0"/>
              <w:left w:val="nil"/>
              <w:bottom w:val="single" w:color="auto" w:sz="8" w:space="0"/>
              <w:right w:val="single" w:color="auto" w:sz="8" w:space="0"/>
            </w:tcBorders>
            <w:noWrap/>
            <w:tcMar>
              <w:top w:w="0" w:type="dxa"/>
              <w:left w:w="57" w:type="dxa"/>
              <w:bottom w:w="0" w:type="dxa"/>
              <w:right w:w="57" w:type="dxa"/>
            </w:tcMar>
          </w:tcPr>
          <w:p w14:paraId="68F21C44">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1.属于国家秘密</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7DEBB05">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F6C5AB6">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0B57BB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3B3A7F8">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8D1668B">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5F8D78F">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single" w:color="auto" w:sz="8" w:space="0"/>
              <w:left w:val="nil"/>
              <w:bottom w:val="single" w:color="auto" w:sz="8" w:space="0"/>
              <w:right w:val="single" w:color="auto" w:sz="8" w:space="0"/>
            </w:tcBorders>
            <w:noWrap/>
            <w:tcMar>
              <w:top w:w="0" w:type="dxa"/>
              <w:left w:w="57" w:type="dxa"/>
              <w:bottom w:w="0" w:type="dxa"/>
              <w:right w:w="57" w:type="dxa"/>
            </w:tcMar>
            <w:vAlign w:val="center"/>
          </w:tcPr>
          <w:p w14:paraId="1D53490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27F28383">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6ED0E957">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29DBCFEF">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5F0355C8">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2.其他法律行政法规禁止公开</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B3F4AC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9FC3DA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9BF40C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227833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D459B00">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5FA515D">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1F57BBD">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5B86486F">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1F35D7B7">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115FBC97">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46715054">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3.危及“三安全一稳定”</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FC31740">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A8F71A0">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66830B0">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F76088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96C62D9">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365A329">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993A7CB">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29B50840">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2C18C90C">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4273E84F">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5A09B816">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4.保护第三方合法权益</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DD4C236">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EB56258">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BA86E56">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8182859">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C16EB3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9BA318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7E77EE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29E36D9A">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48D0AEE4">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639D236E">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57D7B7B6">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5.属于三类内部事务信息</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D61AFF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56DC2DD">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8A38A6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8F10CED">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F531D4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E59066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A063E8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05274CF6">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7D55433D">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13E68CC9">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51362788">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6.属于四类过程性信息</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EDFF45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6C11EB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AFED8EF">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5CABD93">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7841AF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B12598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8C0B47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0EE2C102">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7E993DA4">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4F83F4A7">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4777092C">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7.属于行政执法案卷</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07A48D5">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A791CA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72A4D5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58A64A3">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F50AA0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E39130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D38721D">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722508C9">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0021DECA">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2F5C6B3D">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6562872C">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8.属于行政查询事项</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8AC156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244CAA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9E90253">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78B1B20">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455FCC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0919CDB">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39801A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28B0DE59">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38D0B280">
            <w:pPr>
              <w:rPr>
                <w:rFonts w:ascii="Times New Roman" w:hAnsi="Times New Roman"/>
                <w:color w:val="000000" w:themeColor="text1"/>
                <w:sz w:val="21"/>
                <w:szCs w:val="21"/>
              </w:rPr>
            </w:pPr>
          </w:p>
        </w:tc>
        <w:tc>
          <w:tcPr>
            <w:tcW w:w="943" w:type="dxa"/>
            <w:vMerge w:val="restart"/>
            <w:tcBorders>
              <w:top w:val="nil"/>
              <w:left w:val="nil"/>
              <w:bottom w:val="outset" w:color="auto" w:sz="8" w:space="0"/>
              <w:right w:val="single" w:color="auto" w:sz="8" w:space="0"/>
            </w:tcBorders>
            <w:noWrap/>
            <w:tcMar>
              <w:top w:w="0" w:type="dxa"/>
              <w:left w:w="57" w:type="dxa"/>
              <w:bottom w:w="0" w:type="dxa"/>
              <w:right w:w="57" w:type="dxa"/>
            </w:tcMar>
            <w:vAlign w:val="center"/>
          </w:tcPr>
          <w:p w14:paraId="6761E275">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（四）无法提供</w:t>
            </w: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4F271763">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1.本机关不掌握相关政府信息</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1C8BD2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6A5C73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B68F3F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DB2DBF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2F747E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4EF0793">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3D7ED1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4A3245E6">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46F9CCDD">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167C08C8">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31081695">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2.没有现成信息需要另行制作</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1B547AB">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1</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A5D85F0">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F0BCF73">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F989A4B">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3E1D6A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ED61243">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0AB2E1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1</w:t>
            </w:r>
          </w:p>
        </w:tc>
      </w:tr>
      <w:tr w14:paraId="63CB109F">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502D7404">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7CA95CD3">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504D7961">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3.补正后申请内容仍不明确</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98BAF89">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ECD967A">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332654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CD96938">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BD7B9A9">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ED037C5">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E21234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4D53A4E4">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472E4880">
            <w:pPr>
              <w:rPr>
                <w:rFonts w:ascii="Times New Roman" w:hAnsi="Times New Roman"/>
                <w:color w:val="000000" w:themeColor="text1"/>
                <w:sz w:val="21"/>
                <w:szCs w:val="21"/>
              </w:rPr>
            </w:pPr>
          </w:p>
        </w:tc>
        <w:tc>
          <w:tcPr>
            <w:tcW w:w="943" w:type="dxa"/>
            <w:vMerge w:val="restart"/>
            <w:tcBorders>
              <w:top w:val="nil"/>
              <w:left w:val="nil"/>
              <w:bottom w:val="outset" w:color="auto" w:sz="8" w:space="0"/>
              <w:right w:val="single" w:color="auto" w:sz="8" w:space="0"/>
            </w:tcBorders>
            <w:noWrap/>
            <w:tcMar>
              <w:top w:w="0" w:type="dxa"/>
              <w:left w:w="57" w:type="dxa"/>
              <w:bottom w:w="0" w:type="dxa"/>
              <w:right w:w="57" w:type="dxa"/>
            </w:tcMar>
            <w:vAlign w:val="center"/>
          </w:tcPr>
          <w:p w14:paraId="7CF0EF36">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（五）不予处理</w:t>
            </w: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54966849">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1.信访举报投诉类申请</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0F95BF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0CEBF3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6823CA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2D7D6FD">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A92F9C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EC17686">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82C5426">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35BA63A0">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2089BE30">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474E66A3">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02D5EE19">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2.重复申请</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508F64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41071D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8DBDCA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F503519">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F21CAD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C5C6A7F">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B82288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7391144D">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0EF12A05">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6819CB8C">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496AB120">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3.要求提供公开出版物</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C131D88">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DA422F5">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B17A94A">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E41F2E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5D8DA6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AC7656A">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9AB952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752E1D7C">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6117C457">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53AD70D4">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tcPr>
          <w:p w14:paraId="4C5A8886">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4.无正当理由大量反复申请</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E1183A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C1A3B1A">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521929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8AC8C76">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3ECF948">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58D12C5">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839644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409F90F7">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25C32131">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2C644372">
            <w:pPr>
              <w:rPr>
                <w:rFonts w:ascii="Times New Roman" w:hAnsi="Times New Roman"/>
                <w:color w:val="000000" w:themeColor="text1"/>
                <w:sz w:val="21"/>
                <w:szCs w:val="21"/>
              </w:rPr>
            </w:pPr>
          </w:p>
        </w:tc>
        <w:tc>
          <w:tcPr>
            <w:tcW w:w="3220" w:type="dxa"/>
            <w:tcBorders>
              <w:top w:val="nil"/>
              <w:left w:val="nil"/>
              <w:bottom w:val="outset" w:color="auto" w:sz="8" w:space="0"/>
              <w:right w:val="single" w:color="auto" w:sz="8" w:space="0"/>
            </w:tcBorders>
            <w:noWrap/>
            <w:tcMar>
              <w:top w:w="0" w:type="dxa"/>
              <w:left w:w="57" w:type="dxa"/>
              <w:bottom w:w="0" w:type="dxa"/>
              <w:right w:w="57" w:type="dxa"/>
            </w:tcMar>
            <w:vAlign w:val="center"/>
          </w:tcPr>
          <w:p w14:paraId="27166BFB">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5.要求行政机关确认或重新出具已获取信息</w:t>
            </w:r>
          </w:p>
        </w:tc>
        <w:tc>
          <w:tcPr>
            <w:tcW w:w="688" w:type="dxa"/>
            <w:tcBorders>
              <w:top w:val="nil"/>
              <w:left w:val="nil"/>
              <w:bottom w:val="outset" w:color="auto" w:sz="8" w:space="0"/>
              <w:right w:val="single" w:color="auto" w:sz="8" w:space="0"/>
            </w:tcBorders>
            <w:noWrap/>
            <w:tcMar>
              <w:top w:w="0" w:type="dxa"/>
              <w:left w:w="57" w:type="dxa"/>
              <w:bottom w:w="0" w:type="dxa"/>
              <w:right w:w="57" w:type="dxa"/>
            </w:tcMar>
            <w:vAlign w:val="center"/>
          </w:tcPr>
          <w:p w14:paraId="69385AD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outset" w:color="auto" w:sz="8" w:space="0"/>
              <w:right w:val="single" w:color="auto" w:sz="8" w:space="0"/>
            </w:tcBorders>
            <w:noWrap/>
            <w:tcMar>
              <w:top w:w="0" w:type="dxa"/>
              <w:left w:w="57" w:type="dxa"/>
              <w:bottom w:w="0" w:type="dxa"/>
              <w:right w:w="57" w:type="dxa"/>
            </w:tcMar>
            <w:vAlign w:val="center"/>
          </w:tcPr>
          <w:p w14:paraId="00A32EE3">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outset" w:color="auto" w:sz="8" w:space="0"/>
              <w:right w:val="single" w:color="auto" w:sz="8" w:space="0"/>
            </w:tcBorders>
            <w:noWrap/>
            <w:tcMar>
              <w:top w:w="0" w:type="dxa"/>
              <w:left w:w="57" w:type="dxa"/>
              <w:bottom w:w="0" w:type="dxa"/>
              <w:right w:w="57" w:type="dxa"/>
            </w:tcMar>
            <w:vAlign w:val="center"/>
          </w:tcPr>
          <w:p w14:paraId="35D206FF">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outset" w:color="auto" w:sz="8" w:space="0"/>
              <w:right w:val="single" w:color="auto" w:sz="8" w:space="0"/>
            </w:tcBorders>
            <w:noWrap/>
            <w:tcMar>
              <w:top w:w="0" w:type="dxa"/>
              <w:left w:w="57" w:type="dxa"/>
              <w:bottom w:w="0" w:type="dxa"/>
              <w:right w:w="57" w:type="dxa"/>
            </w:tcMar>
            <w:vAlign w:val="center"/>
          </w:tcPr>
          <w:p w14:paraId="2A2BD788">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outset" w:color="auto" w:sz="8" w:space="0"/>
              <w:right w:val="single" w:color="auto" w:sz="8" w:space="0"/>
            </w:tcBorders>
            <w:noWrap/>
            <w:tcMar>
              <w:top w:w="0" w:type="dxa"/>
              <w:left w:w="57" w:type="dxa"/>
              <w:bottom w:w="0" w:type="dxa"/>
              <w:right w:w="57" w:type="dxa"/>
            </w:tcMar>
            <w:vAlign w:val="center"/>
          </w:tcPr>
          <w:p w14:paraId="5094E0B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outset" w:color="auto" w:sz="8" w:space="0"/>
              <w:right w:val="single" w:color="auto" w:sz="8" w:space="0"/>
            </w:tcBorders>
            <w:noWrap/>
            <w:tcMar>
              <w:top w:w="0" w:type="dxa"/>
              <w:left w:w="57" w:type="dxa"/>
              <w:bottom w:w="0" w:type="dxa"/>
              <w:right w:w="57" w:type="dxa"/>
            </w:tcMar>
            <w:vAlign w:val="center"/>
          </w:tcPr>
          <w:p w14:paraId="0644201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outset" w:color="auto" w:sz="8" w:space="0"/>
              <w:right w:val="single" w:color="auto" w:sz="8" w:space="0"/>
            </w:tcBorders>
            <w:noWrap/>
            <w:tcMar>
              <w:top w:w="0" w:type="dxa"/>
              <w:left w:w="57" w:type="dxa"/>
              <w:bottom w:w="0" w:type="dxa"/>
              <w:right w:w="57" w:type="dxa"/>
            </w:tcMar>
            <w:vAlign w:val="center"/>
          </w:tcPr>
          <w:p w14:paraId="771F4AE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51BA5847">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66728C43">
            <w:pPr>
              <w:rPr>
                <w:rFonts w:ascii="Times New Roman" w:hAnsi="Times New Roman"/>
                <w:color w:val="000000" w:themeColor="text1"/>
                <w:sz w:val="21"/>
                <w:szCs w:val="21"/>
              </w:rPr>
            </w:pPr>
          </w:p>
        </w:tc>
        <w:tc>
          <w:tcPr>
            <w:tcW w:w="943" w:type="dxa"/>
            <w:vMerge w:val="restart"/>
            <w:tcBorders>
              <w:top w:val="nil"/>
              <w:left w:val="nil"/>
              <w:bottom w:val="outset" w:color="auto" w:sz="8" w:space="0"/>
              <w:right w:val="single" w:color="auto" w:sz="8" w:space="0"/>
            </w:tcBorders>
            <w:noWrap/>
            <w:tcMar>
              <w:top w:w="0" w:type="dxa"/>
              <w:left w:w="57" w:type="dxa"/>
              <w:bottom w:w="0" w:type="dxa"/>
              <w:right w:w="57" w:type="dxa"/>
            </w:tcMar>
            <w:vAlign w:val="center"/>
          </w:tcPr>
          <w:p w14:paraId="78EB39AB">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（六）其他处理</w:t>
            </w:r>
          </w:p>
        </w:tc>
        <w:tc>
          <w:tcPr>
            <w:tcW w:w="3220"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271E283">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AD1AB6B">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1A07B66">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702A0B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E66BF05">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BAD063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782671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81CE84D">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272477F2">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697E9CF5">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28762AC4">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8FC59CA">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BAFE4F9">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4E1102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4EDCC50">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FAC2DF0">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48870DF">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347D476">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E5C7930">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271AF234">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0B0C1421">
            <w:pPr>
              <w:rPr>
                <w:rFonts w:ascii="Times New Roman" w:hAnsi="Times New Roman"/>
                <w:color w:val="000000" w:themeColor="text1"/>
                <w:sz w:val="21"/>
                <w:szCs w:val="21"/>
              </w:rPr>
            </w:pPr>
          </w:p>
        </w:tc>
        <w:tc>
          <w:tcPr>
            <w:tcW w:w="943" w:type="dxa"/>
            <w:vMerge w:val="continue"/>
            <w:tcBorders>
              <w:top w:val="nil"/>
              <w:left w:val="nil"/>
              <w:bottom w:val="outset" w:color="auto" w:sz="8" w:space="0"/>
              <w:right w:val="single" w:color="auto" w:sz="8" w:space="0"/>
            </w:tcBorders>
            <w:noWrap/>
            <w:tcMar>
              <w:top w:w="0" w:type="dxa"/>
              <w:left w:w="57" w:type="dxa"/>
              <w:bottom w:w="0" w:type="dxa"/>
              <w:right w:w="57" w:type="dxa"/>
            </w:tcMar>
            <w:vAlign w:val="center"/>
          </w:tcPr>
          <w:p w14:paraId="452F668F">
            <w:pPr>
              <w:rPr>
                <w:rFonts w:ascii="Times New Roman" w:hAnsi="Times New Roman"/>
                <w:color w:val="000000" w:themeColor="text1"/>
                <w:sz w:val="21"/>
                <w:szCs w:val="21"/>
              </w:rPr>
            </w:pPr>
          </w:p>
        </w:tc>
        <w:tc>
          <w:tcPr>
            <w:tcW w:w="3220"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A5008C3">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3.其他</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20727DD">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0BD07325">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BF3797F">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74E5AB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9DFF7F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A39040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4CDFF7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r>
      <w:tr w14:paraId="0978ABF4">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top w:w="0" w:type="dxa"/>
              <w:left w:w="57" w:type="dxa"/>
              <w:bottom w:w="0" w:type="dxa"/>
              <w:right w:w="57" w:type="dxa"/>
            </w:tcMar>
            <w:vAlign w:val="center"/>
          </w:tcPr>
          <w:p w14:paraId="702896BD">
            <w:pPr>
              <w:rPr>
                <w:rFonts w:ascii="Times New Roman" w:hAnsi="Times New Roman"/>
                <w:color w:val="000000" w:themeColor="text1"/>
                <w:sz w:val="21"/>
                <w:szCs w:val="21"/>
              </w:rPr>
            </w:pPr>
          </w:p>
        </w:tc>
        <w:tc>
          <w:tcPr>
            <w:tcW w:w="4163" w:type="dxa"/>
            <w:gridSpan w:val="2"/>
            <w:tcBorders>
              <w:top w:val="nil"/>
              <w:left w:val="nil"/>
              <w:bottom w:val="single" w:color="auto" w:sz="8" w:space="0"/>
              <w:right w:val="single" w:color="auto" w:sz="8" w:space="0"/>
            </w:tcBorders>
            <w:noWrap/>
            <w:tcMar>
              <w:top w:w="0" w:type="dxa"/>
              <w:left w:w="57" w:type="dxa"/>
              <w:bottom w:w="0" w:type="dxa"/>
              <w:right w:w="57" w:type="dxa"/>
            </w:tcMar>
            <w:vAlign w:val="center"/>
          </w:tcPr>
          <w:p w14:paraId="15F364DA">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（七）总计</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20F9015">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1</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3996A3F">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35AFF13">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5181B02">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5089CE4">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5D68A3B8">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241EC88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1"/>
                <w:szCs w:val="21"/>
              </w:rPr>
              <w:t>1</w:t>
            </w:r>
          </w:p>
        </w:tc>
      </w:tr>
      <w:tr w14:paraId="71C48A0A">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noWrap/>
            <w:tcMar>
              <w:top w:w="0" w:type="dxa"/>
              <w:left w:w="57" w:type="dxa"/>
              <w:bottom w:w="0" w:type="dxa"/>
              <w:right w:w="57" w:type="dxa"/>
            </w:tcMar>
            <w:vAlign w:val="center"/>
          </w:tcPr>
          <w:p w14:paraId="7F52A4B0">
            <w:pPr>
              <w:pStyle w:val="7"/>
              <w:spacing w:before="0" w:beforeAutospacing="0" w:after="0" w:afterAutospacing="0"/>
              <w:jc w:val="both"/>
              <w:rPr>
                <w:rFonts w:ascii="Times New Roman" w:hAnsi="Times New Roman"/>
                <w:color w:val="000000" w:themeColor="text1"/>
                <w:sz w:val="21"/>
                <w:szCs w:val="21"/>
              </w:rPr>
            </w:pPr>
            <w:r>
              <w:rPr>
                <w:rFonts w:ascii="Times New Roman" w:hAnsi="Times New Roman"/>
                <w:color w:val="000000" w:themeColor="text1"/>
                <w:sz w:val="20"/>
                <w:szCs w:val="20"/>
              </w:rPr>
              <w:t>四、结转下年度继续办理</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1043A0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1</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40F60CD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90E6A25">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74BA596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35F830E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8"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6695F3CC">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89" w:type="dxa"/>
            <w:tcBorders>
              <w:top w:val="nil"/>
              <w:left w:val="nil"/>
              <w:bottom w:val="single" w:color="auto" w:sz="8" w:space="0"/>
              <w:right w:val="single" w:color="auto" w:sz="8" w:space="0"/>
            </w:tcBorders>
            <w:noWrap/>
            <w:tcMar>
              <w:top w:w="0" w:type="dxa"/>
              <w:left w:w="57" w:type="dxa"/>
              <w:bottom w:w="0" w:type="dxa"/>
              <w:right w:w="57" w:type="dxa"/>
            </w:tcMar>
            <w:vAlign w:val="center"/>
          </w:tcPr>
          <w:p w14:paraId="1832E00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1"/>
                <w:szCs w:val="21"/>
              </w:rPr>
              <w:t>1</w:t>
            </w:r>
          </w:p>
        </w:tc>
      </w:tr>
    </w:tbl>
    <w:p w14:paraId="49F634E6">
      <w:pPr>
        <w:pStyle w:val="7"/>
        <w:overflowPunct w:val="0"/>
        <w:autoSpaceDE w:val="0"/>
        <w:spacing w:before="0" w:beforeAutospacing="0" w:after="0" w:afterAutospacing="0" w:line="600" w:lineRule="atLeast"/>
        <w:ind w:firstLine="640"/>
        <w:jc w:val="both"/>
        <w:rPr>
          <w:rFonts w:ascii="Times New Roman" w:hAnsi="Times New Roman"/>
          <w:color w:val="000000" w:themeColor="text1"/>
          <w:sz w:val="21"/>
          <w:szCs w:val="21"/>
        </w:rPr>
      </w:pPr>
      <w:r>
        <w:rPr>
          <w:rFonts w:ascii="Times New Roman" w:hAnsi="Times New Roman" w:eastAsia="方正黑体_GBK"/>
          <w:color w:val="000000" w:themeColor="text1"/>
          <w:sz w:val="32"/>
          <w:szCs w:val="32"/>
        </w:rPr>
        <w:t>四、政府信息公开行政复议、行政诉讼情况</w:t>
      </w:r>
    </w:p>
    <w:tbl>
      <w:tblPr>
        <w:tblStyle w:val="8"/>
        <w:tblW w:w="9748"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autofit"/>
        <w:tblCellMar>
          <w:top w:w="15" w:type="dxa"/>
          <w:left w:w="15" w:type="dxa"/>
          <w:bottom w:w="15" w:type="dxa"/>
          <w:right w:w="15"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51EDD171">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96497C">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行政复议</w:t>
            </w:r>
          </w:p>
        </w:tc>
        <w:tc>
          <w:tcPr>
            <w:tcW w:w="6498" w:type="dxa"/>
            <w:gridSpan w:val="10"/>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C33184A">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行政诉讼</w:t>
            </w:r>
          </w:p>
        </w:tc>
      </w:tr>
      <w:tr w14:paraId="5832430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650"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1F103F9">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结果维持</w:t>
            </w:r>
          </w:p>
        </w:tc>
        <w:tc>
          <w:tcPr>
            <w:tcW w:w="650"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14:paraId="044F137F">
            <w:pPr>
              <w:pStyle w:val="7"/>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结果</w:t>
            </w:r>
          </w:p>
          <w:p w14:paraId="44497FB3">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纠正</w:t>
            </w:r>
          </w:p>
        </w:tc>
        <w:tc>
          <w:tcPr>
            <w:tcW w:w="650" w:type="dxa"/>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F5993CA">
            <w:pPr>
              <w:pStyle w:val="7"/>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其他</w:t>
            </w:r>
          </w:p>
          <w:p w14:paraId="126D0C77">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结果</w:t>
            </w:r>
          </w:p>
        </w:tc>
        <w:tc>
          <w:tcPr>
            <w:tcW w:w="650" w:type="dxa"/>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4F55229">
            <w:pPr>
              <w:pStyle w:val="7"/>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尚未</w:t>
            </w:r>
          </w:p>
          <w:p w14:paraId="0CACBF4B">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审结</w:t>
            </w:r>
          </w:p>
        </w:tc>
        <w:tc>
          <w:tcPr>
            <w:tcW w:w="650" w:type="dxa"/>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EB45452">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总计</w:t>
            </w:r>
          </w:p>
        </w:tc>
        <w:tc>
          <w:tcPr>
            <w:tcW w:w="3248" w:type="dxa"/>
            <w:gridSpan w:val="5"/>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49F83F4">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未经复议直接起诉</w:t>
            </w:r>
          </w:p>
        </w:tc>
        <w:tc>
          <w:tcPr>
            <w:tcW w:w="3250" w:type="dxa"/>
            <w:gridSpan w:val="5"/>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012EA70">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复议后起诉</w:t>
            </w:r>
          </w:p>
        </w:tc>
      </w:tr>
      <w:tr w14:paraId="72135DD0">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650"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F5189DD">
            <w:pPr>
              <w:rPr>
                <w:rFonts w:ascii="Times New Roman" w:hAnsi="Times New Roman"/>
                <w:color w:val="000000" w:themeColor="text1"/>
                <w:sz w:val="21"/>
                <w:szCs w:val="21"/>
              </w:rPr>
            </w:pPr>
          </w:p>
        </w:tc>
        <w:tc>
          <w:tcPr>
            <w:tcW w:w="650" w:type="dxa"/>
            <w:vMerge w:val="continue"/>
            <w:tcBorders>
              <w:top w:val="nil"/>
              <w:left w:val="nil"/>
              <w:bottom w:val="single" w:color="auto" w:sz="8" w:space="0"/>
              <w:right w:val="single" w:color="auto" w:sz="8" w:space="0"/>
            </w:tcBorders>
            <w:noWrap/>
            <w:tcMar>
              <w:top w:w="0" w:type="dxa"/>
              <w:left w:w="108" w:type="dxa"/>
              <w:bottom w:w="0" w:type="dxa"/>
              <w:right w:w="108" w:type="dxa"/>
            </w:tcMar>
            <w:vAlign w:val="center"/>
          </w:tcPr>
          <w:p w14:paraId="162F4D44">
            <w:pPr>
              <w:rPr>
                <w:rFonts w:ascii="Times New Roman" w:hAnsi="Times New Roman"/>
                <w:color w:val="000000" w:themeColor="text1"/>
                <w:sz w:val="21"/>
                <w:szCs w:val="21"/>
              </w:rPr>
            </w:pPr>
          </w:p>
        </w:tc>
        <w:tc>
          <w:tcPr>
            <w:tcW w:w="650" w:type="dxa"/>
            <w:vMerge w:val="continue"/>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4AEED0A">
            <w:pPr>
              <w:rPr>
                <w:rFonts w:ascii="Times New Roman" w:hAnsi="Times New Roman"/>
                <w:color w:val="000000" w:themeColor="text1"/>
                <w:sz w:val="21"/>
                <w:szCs w:val="21"/>
              </w:rPr>
            </w:pPr>
          </w:p>
        </w:tc>
        <w:tc>
          <w:tcPr>
            <w:tcW w:w="650" w:type="dxa"/>
            <w:vMerge w:val="continue"/>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1724C1D">
            <w:pPr>
              <w:rPr>
                <w:rFonts w:ascii="Times New Roman" w:hAnsi="Times New Roman"/>
                <w:color w:val="000000" w:themeColor="text1"/>
                <w:sz w:val="21"/>
                <w:szCs w:val="21"/>
              </w:rPr>
            </w:pPr>
          </w:p>
        </w:tc>
        <w:tc>
          <w:tcPr>
            <w:tcW w:w="650" w:type="dxa"/>
            <w:vMerge w:val="continue"/>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01DB1F8">
            <w:pPr>
              <w:rPr>
                <w:rFonts w:ascii="Times New Roman" w:hAnsi="Times New Roman"/>
                <w:color w:val="000000" w:themeColor="text1"/>
                <w:sz w:val="21"/>
                <w:szCs w:val="21"/>
              </w:rPr>
            </w:pPr>
          </w:p>
        </w:tc>
        <w:tc>
          <w:tcPr>
            <w:tcW w:w="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8BD4085">
            <w:pPr>
              <w:pStyle w:val="7"/>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结果</w:t>
            </w:r>
          </w:p>
          <w:p w14:paraId="2AC21BEB">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维持</w:t>
            </w:r>
          </w:p>
        </w:tc>
        <w:tc>
          <w:tcPr>
            <w:tcW w:w="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BF34E97">
            <w:pPr>
              <w:pStyle w:val="7"/>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结果</w:t>
            </w:r>
          </w:p>
          <w:p w14:paraId="077C0EA9">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纠正</w:t>
            </w:r>
          </w:p>
        </w:tc>
        <w:tc>
          <w:tcPr>
            <w:tcW w:w="6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9F3241D">
            <w:pPr>
              <w:pStyle w:val="7"/>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其他</w:t>
            </w:r>
          </w:p>
          <w:p w14:paraId="12522157">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结果</w:t>
            </w:r>
          </w:p>
        </w:tc>
        <w:tc>
          <w:tcPr>
            <w:tcW w:w="6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D014DB1">
            <w:pPr>
              <w:pStyle w:val="7"/>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尚未</w:t>
            </w:r>
          </w:p>
          <w:p w14:paraId="7C32C3E3">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审结</w:t>
            </w:r>
          </w:p>
        </w:tc>
        <w:tc>
          <w:tcPr>
            <w:tcW w:w="6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7FF2EC1">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总计</w:t>
            </w:r>
          </w:p>
        </w:tc>
        <w:tc>
          <w:tcPr>
            <w:tcW w:w="6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0E20EF3">
            <w:pPr>
              <w:pStyle w:val="7"/>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结果</w:t>
            </w:r>
          </w:p>
          <w:p w14:paraId="2924494D">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维持</w:t>
            </w:r>
          </w:p>
        </w:tc>
        <w:tc>
          <w:tcPr>
            <w:tcW w:w="6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EF969EB">
            <w:pPr>
              <w:pStyle w:val="7"/>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结果</w:t>
            </w:r>
          </w:p>
          <w:p w14:paraId="5AB905EF">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纠正</w:t>
            </w:r>
          </w:p>
        </w:tc>
        <w:tc>
          <w:tcPr>
            <w:tcW w:w="6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C137CC7">
            <w:pPr>
              <w:pStyle w:val="7"/>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其他</w:t>
            </w:r>
          </w:p>
          <w:p w14:paraId="45ECAB99">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结果</w:t>
            </w:r>
          </w:p>
        </w:tc>
        <w:tc>
          <w:tcPr>
            <w:tcW w:w="6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C99CD9B">
            <w:pPr>
              <w:pStyle w:val="7"/>
              <w:spacing w:before="0" w:beforeAutospacing="0" w:after="0" w:afterAutospacing="0"/>
              <w:jc w:val="center"/>
              <w:rPr>
                <w:rFonts w:ascii="Times New Roman" w:hAnsi="Times New Roman"/>
                <w:color w:val="000000" w:themeColor="text1"/>
                <w:sz w:val="20"/>
                <w:szCs w:val="20"/>
              </w:rPr>
            </w:pPr>
            <w:r>
              <w:rPr>
                <w:rFonts w:ascii="Times New Roman" w:hAnsi="Times New Roman"/>
                <w:color w:val="000000" w:themeColor="text1"/>
                <w:sz w:val="20"/>
                <w:szCs w:val="20"/>
              </w:rPr>
              <w:t>尚未</w:t>
            </w:r>
          </w:p>
          <w:p w14:paraId="4B340D38">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审结</w:t>
            </w:r>
          </w:p>
        </w:tc>
        <w:tc>
          <w:tcPr>
            <w:tcW w:w="6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5722D64">
            <w:pPr>
              <w:pStyle w:val="7"/>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 w:val="20"/>
                <w:szCs w:val="20"/>
              </w:rPr>
              <w:t>总计</w:t>
            </w:r>
          </w:p>
        </w:tc>
      </w:tr>
      <w:tr w14:paraId="0CB9CB32">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4739B7D">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eastAsia="黑体"/>
                <w:color w:val="000000" w:themeColor="text1"/>
                <w:sz w:val="20"/>
                <w:szCs w:val="20"/>
              </w:rPr>
              <w:t>0</w:t>
            </w:r>
          </w:p>
        </w:tc>
        <w:tc>
          <w:tcPr>
            <w:tcW w:w="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DD51EEA">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BB17A1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AEE74DA">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A650CF9">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6D6BE05">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4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C0E0FC1">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5AC0A79">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1F55A0">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1D577B">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A8D8237">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809E01A">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ECAD02F">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26E3945">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0"/>
                <w:szCs w:val="20"/>
              </w:rPr>
              <w:t>0</w:t>
            </w:r>
          </w:p>
        </w:tc>
        <w:tc>
          <w:tcPr>
            <w:tcW w:w="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F2356AE">
            <w:pPr>
              <w:pStyle w:val="7"/>
              <w:spacing w:before="0" w:beforeAutospacing="0" w:after="0" w:afterAutospacing="0"/>
              <w:jc w:val="center"/>
              <w:rPr>
                <w:rFonts w:ascii="Times New Roman" w:hAnsi="Times New Roman"/>
                <w:color w:val="000000" w:themeColor="text1"/>
                <w:sz w:val="21"/>
                <w:szCs w:val="21"/>
              </w:rPr>
            </w:pPr>
            <w:r>
              <w:rPr>
                <w:rFonts w:hint="eastAsia" w:ascii="Times New Roman" w:hAnsi="Times New Roman"/>
                <w:color w:val="000000" w:themeColor="text1"/>
                <w:sz w:val="21"/>
                <w:szCs w:val="21"/>
              </w:rPr>
              <w:t>0</w:t>
            </w:r>
          </w:p>
        </w:tc>
      </w:tr>
    </w:tbl>
    <w:p w14:paraId="76C293DE">
      <w:pPr>
        <w:pStyle w:val="7"/>
        <w:overflowPunct w:val="0"/>
        <w:autoSpaceDE w:val="0"/>
        <w:spacing w:before="0" w:beforeAutospacing="0" w:after="0" w:afterAutospacing="0" w:line="600" w:lineRule="exact"/>
        <w:ind w:firstLine="640"/>
        <w:jc w:val="both"/>
        <w:rPr>
          <w:rFonts w:ascii="Times New Roman" w:hAnsi="Times New Roman" w:eastAsia="方正黑体_GBK"/>
          <w:color w:val="000000" w:themeColor="text1"/>
          <w:sz w:val="32"/>
          <w:szCs w:val="32"/>
        </w:rPr>
      </w:pPr>
      <w:r>
        <w:rPr>
          <w:rFonts w:ascii="Times New Roman" w:hAnsi="Times New Roman" w:eastAsia="方正黑体_GBK"/>
          <w:color w:val="000000" w:themeColor="text1"/>
          <w:sz w:val="32"/>
          <w:szCs w:val="32"/>
        </w:rPr>
        <w:t>五、存在的主要问题及改进情况</w:t>
      </w:r>
    </w:p>
    <w:p w14:paraId="54349570">
      <w:pPr>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存在问题：</w:t>
      </w:r>
      <w:r>
        <w:rPr>
          <w:rFonts w:ascii="Times New Roman" w:hAnsi="Times New Roman" w:eastAsia="仿宋_GB2312"/>
          <w:color w:val="000000" w:themeColor="text1"/>
          <w:sz w:val="32"/>
          <w:szCs w:val="32"/>
        </w:rPr>
        <w:t>一是工作机制还有完善空间，工作流程需要更加明确。二是文件解读数量不多，解读质量还有待提升。</w:t>
      </w:r>
    </w:p>
    <w:p w14:paraId="35E9BEE9">
      <w:pPr>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下步工作打算</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一是继续加强组织领导</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完善政务公开制度，严把审核关，严格落实层层审批，多人审核，切实提高政务公开工作质量，切实加强政务公开答复内容。二是强化监督保障。加强信息公开日常监督工作，落实公开信息和公开过程的管理责任，不定期开展巡查排查，确保应公开内容公开到位。三是加强宣传。利用局门户网站、新媒体等方式加强公开宣传，确保人民群众对公开政策广泛知晓，确保政务公开工作取得实效。四是完善解读。对群众关心的公共交通政策及时进行宣传和解读，积极吸纳群众意见建议。对涉及人民群众切身利益、涉及交通企业运营活动的重要政策，向社会广泛公开征求意见，扩大群众参与度。</w:t>
      </w:r>
    </w:p>
    <w:p w14:paraId="23B4F2E5">
      <w:pPr>
        <w:pStyle w:val="7"/>
        <w:overflowPunct w:val="0"/>
        <w:autoSpaceDE w:val="0"/>
        <w:spacing w:before="0" w:beforeAutospacing="0" w:after="0" w:afterAutospacing="0" w:line="600" w:lineRule="exact"/>
        <w:ind w:firstLine="640"/>
        <w:jc w:val="both"/>
        <w:rPr>
          <w:rFonts w:ascii="Times New Roman" w:hAnsi="Times New Roman"/>
          <w:color w:val="000000" w:themeColor="text1"/>
          <w:sz w:val="21"/>
          <w:szCs w:val="21"/>
        </w:rPr>
      </w:pPr>
    </w:p>
    <w:p w14:paraId="3DD5C2A8">
      <w:pPr>
        <w:pStyle w:val="7"/>
        <w:overflowPunct w:val="0"/>
        <w:autoSpaceDE w:val="0"/>
        <w:spacing w:before="0" w:beforeAutospacing="0" w:after="0" w:afterAutospacing="0" w:line="600" w:lineRule="exact"/>
        <w:ind w:firstLine="640"/>
        <w:jc w:val="both"/>
        <w:rPr>
          <w:rFonts w:ascii="Times New Roman" w:hAnsi="Times New Roman"/>
          <w:color w:val="000000" w:themeColor="text1"/>
          <w:sz w:val="21"/>
          <w:szCs w:val="21"/>
        </w:rPr>
      </w:pPr>
      <w:r>
        <w:rPr>
          <w:rFonts w:ascii="Times New Roman" w:hAnsi="Times New Roman" w:eastAsia="方正黑体_GBK"/>
          <w:color w:val="000000" w:themeColor="text1"/>
          <w:sz w:val="32"/>
          <w:szCs w:val="32"/>
        </w:rPr>
        <w:t>六、其他需要报告的事项</w:t>
      </w:r>
    </w:p>
    <w:p w14:paraId="61C65B0E">
      <w:pPr>
        <w:shd w:val="clear" w:color="auto" w:fill="FFFFFF"/>
        <w:ind w:firstLine="640"/>
        <w:jc w:val="both"/>
        <w:rPr>
          <w:rFonts w:ascii="Times New Roman" w:hAnsi="Times New Roman" w:eastAsia="仿宋_GB2312"/>
          <w:color w:val="000000" w:themeColor="text1"/>
          <w:sz w:val="21"/>
          <w:szCs w:val="21"/>
        </w:rPr>
      </w:pPr>
      <w:r>
        <w:rPr>
          <w:rFonts w:ascii="Times New Roman" w:hAnsi="Times New Roman" w:eastAsia="仿宋_GB2312"/>
          <w:color w:val="000000" w:themeColor="text1"/>
          <w:sz w:val="32"/>
          <w:szCs w:val="32"/>
        </w:rPr>
        <w:t>（一）按照《国务院办公厅关于印发〈政府信息公开信息处理费管理办法〉的通知》（国办函〔2020〕109号）规定的按件、按量收费标准，本年度未产生信息公开处理费。</w:t>
      </w:r>
    </w:p>
    <w:p w14:paraId="681BA573">
      <w:pPr>
        <w:shd w:val="clear" w:color="auto" w:fill="FFFFFF"/>
        <w:ind w:firstLine="480"/>
        <w:jc w:val="both"/>
        <w:rPr>
          <w:rFonts w:ascii="Times New Roman" w:hAnsi="Times New Roman" w:eastAsia="仿宋_GB2312"/>
          <w:color w:val="000000" w:themeColor="text1"/>
        </w:rPr>
      </w:pPr>
      <w:r>
        <w:rPr>
          <w:rFonts w:ascii="Times New Roman" w:hAnsi="Times New Roman" w:eastAsia="仿宋_GB2312"/>
          <w:b/>
          <w:bCs/>
          <w:color w:val="000000" w:themeColor="text1"/>
          <w:sz w:val="32"/>
          <w:szCs w:val="32"/>
        </w:rPr>
        <w:t>（二）</w:t>
      </w:r>
      <w:r>
        <w:rPr>
          <w:rFonts w:ascii="Times New Roman" w:hAnsi="Times New Roman" w:eastAsia="仿宋_GB2312"/>
          <w:color w:val="000000" w:themeColor="text1"/>
          <w:sz w:val="32"/>
          <w:szCs w:val="32"/>
        </w:rPr>
        <w:t>2022年，我局认真落实《安徽省交通运输厅关于印发2022年政务公开重点工作任务分工的通知》和《淮北市2022年政务公开重点工作任务分工的通知》文件，推进政府信息公开与政务新媒体相融合，提高政府信息公开在线办理水平。全年我局共办理市长热线</w:t>
      </w:r>
      <w:r>
        <w:rPr>
          <w:rFonts w:hint="eastAsia" w:ascii="Times New Roman" w:hAnsi="Times New Roman" w:eastAsia="仿宋_GB2312"/>
          <w:color w:val="000000" w:themeColor="text1"/>
          <w:sz w:val="32"/>
          <w:szCs w:val="32"/>
        </w:rPr>
        <w:t>及12328热线共</w:t>
      </w:r>
      <w:r>
        <w:rPr>
          <w:rFonts w:ascii="Times New Roman" w:hAnsi="Times New Roman" w:eastAsia="仿宋_GB2312"/>
          <w:color w:val="000000" w:themeColor="text1"/>
          <w:sz w:val="32"/>
          <w:szCs w:val="32"/>
        </w:rPr>
        <w:t>16919件，市长信箱24条，人民网留言30条，省厅门户网站8条。</w:t>
      </w:r>
    </w:p>
    <w:p w14:paraId="0424A799">
      <w:pPr>
        <w:shd w:val="clear" w:color="auto" w:fill="FFFFFF"/>
        <w:ind w:firstLine="480"/>
        <w:jc w:val="both"/>
        <w:rPr>
          <w:rFonts w:ascii="Times New Roman" w:hAnsi="Times New Roman" w:eastAsia="仿宋_GB2312"/>
          <w:color w:val="000000" w:themeColor="text1"/>
        </w:rPr>
      </w:pPr>
      <w:r>
        <w:rPr>
          <w:rFonts w:ascii="Times New Roman" w:hAnsi="Times New Roman" w:eastAsia="仿宋_GB2312"/>
          <w:color w:val="000000" w:themeColor="text1"/>
          <w:sz w:val="32"/>
          <w:szCs w:val="32"/>
        </w:rPr>
        <w:t>（三）创新做法</w:t>
      </w:r>
    </w:p>
    <w:p w14:paraId="77BEEFC6">
      <w:pPr>
        <w:shd w:val="clear" w:color="auto" w:fill="FFFFFF"/>
        <w:ind w:firstLine="480"/>
        <w:jc w:val="both"/>
        <w:rPr>
          <w:rFonts w:ascii="Times New Roman" w:hAnsi="Times New Roman" w:eastAsia="仿宋_GB2312"/>
          <w:color w:val="000000" w:themeColor="text1"/>
        </w:rPr>
      </w:pPr>
      <w:r>
        <w:rPr>
          <w:rFonts w:ascii="Times New Roman" w:hAnsi="Times New Roman" w:eastAsia="仿宋_GB2312"/>
          <w:color w:val="000000" w:themeColor="text1"/>
          <w:sz w:val="32"/>
          <w:szCs w:val="32"/>
        </w:rPr>
        <w:t>1、按照《安徽省交通运输厅关于印发安徽省交通运输领域基层政务公开事项指引目录及安徽省公共交通企事业单位信息公开标准化规范化工作指引的通知》，我局积极推进淮北市交通运输领域基层政务公开和公共交通企事业单位信息公开工作，</w:t>
      </w:r>
    </w:p>
    <w:p w14:paraId="20B58DB5">
      <w:pPr>
        <w:shd w:val="clear" w:color="auto" w:fill="FFFFFF"/>
        <w:ind w:firstLine="480"/>
        <w:jc w:val="both"/>
        <w:rPr>
          <w:rFonts w:ascii="Times New Roman" w:hAnsi="Times New Roman" w:eastAsia="仿宋_GB2312"/>
          <w:color w:val="000000" w:themeColor="text1"/>
        </w:rPr>
      </w:pPr>
      <w:r>
        <w:rPr>
          <w:rFonts w:ascii="Times New Roman" w:hAnsi="Times New Roman" w:eastAsia="仿宋_GB2312"/>
          <w:color w:val="000000" w:themeColor="text1"/>
          <w:sz w:val="32"/>
          <w:szCs w:val="32"/>
        </w:rPr>
        <w:t>2、认真贯彻落实《政府工作报告》要求，以扎实做好“六稳”工作、全面落实“六保”任务为重点，对重大政策进行解读，对政策解读工作方式进行改进，新增图片解读、负责人解读等方式。加强舆情回应，增强回应工作，安排专人负责微信微博等新媒体留言的答复工作，积极回应广大市民对公共出行、国省干线建设、出租车等热点问题。</w:t>
      </w:r>
    </w:p>
    <w:p w14:paraId="640F3560">
      <w:pPr>
        <w:rPr>
          <w:rFonts w:ascii="Times New Roman" w:hAnsi="Times New Roman"/>
          <w:color w:val="000000" w:themeColor="text1"/>
        </w:rPr>
      </w:pPr>
    </w:p>
    <w:sectPr>
      <w:pgSz w:w="11906" w:h="16838"/>
      <w:pgMar w:top="1701" w:right="1474" w:bottom="141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YjhmYWVjY2MwYTNjM2VkMzk0M2I2ZjA1MTdiZWEifQ=="/>
  </w:docVars>
  <w:rsids>
    <w:rsidRoot w:val="68803757"/>
    <w:rsid w:val="0000751B"/>
    <w:rsid w:val="00045FDB"/>
    <w:rsid w:val="001D7582"/>
    <w:rsid w:val="001F4167"/>
    <w:rsid w:val="002609E8"/>
    <w:rsid w:val="002834EB"/>
    <w:rsid w:val="002D268C"/>
    <w:rsid w:val="002F4292"/>
    <w:rsid w:val="003673A7"/>
    <w:rsid w:val="003F6F68"/>
    <w:rsid w:val="00445B70"/>
    <w:rsid w:val="004874B4"/>
    <w:rsid w:val="00505EFA"/>
    <w:rsid w:val="005224C4"/>
    <w:rsid w:val="005423E5"/>
    <w:rsid w:val="00581FB1"/>
    <w:rsid w:val="006013A3"/>
    <w:rsid w:val="0060576A"/>
    <w:rsid w:val="0063538D"/>
    <w:rsid w:val="00661BD8"/>
    <w:rsid w:val="006D0562"/>
    <w:rsid w:val="007A5D8B"/>
    <w:rsid w:val="007E4965"/>
    <w:rsid w:val="00905E2A"/>
    <w:rsid w:val="00A07B0C"/>
    <w:rsid w:val="00A56C26"/>
    <w:rsid w:val="00A9002E"/>
    <w:rsid w:val="00B144D2"/>
    <w:rsid w:val="00B51092"/>
    <w:rsid w:val="00BB1723"/>
    <w:rsid w:val="00BD2D2C"/>
    <w:rsid w:val="00C67EC9"/>
    <w:rsid w:val="00CB6D9A"/>
    <w:rsid w:val="00CE6186"/>
    <w:rsid w:val="00D00901"/>
    <w:rsid w:val="00DA345E"/>
    <w:rsid w:val="00F957D9"/>
    <w:rsid w:val="00FB4AB4"/>
    <w:rsid w:val="13F57EF6"/>
    <w:rsid w:val="1D65301C"/>
    <w:rsid w:val="24612064"/>
    <w:rsid w:val="340F591B"/>
    <w:rsid w:val="39F81ED0"/>
    <w:rsid w:val="3D954E00"/>
    <w:rsid w:val="53E915AA"/>
    <w:rsid w:val="5581697E"/>
    <w:rsid w:val="6135375D"/>
    <w:rsid w:val="688037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Times New Roman"/>
      <w:sz w:val="24"/>
      <w:szCs w:val="24"/>
      <w:lang w:val="en-US" w:eastAsia="zh-CN" w:bidi="ar-SA"/>
    </w:rPr>
  </w:style>
  <w:style w:type="paragraph" w:styleId="3">
    <w:name w:val="heading 1"/>
    <w:basedOn w:val="1"/>
    <w:next w:val="1"/>
    <w:qFormat/>
    <w:uiPriority w:val="0"/>
    <w:pPr>
      <w:spacing w:beforeAutospacing="1" w:afterAutospacing="1"/>
      <w:outlineLvl w:val="0"/>
    </w:pPr>
    <w:rPr>
      <w:rFonts w:hint="eastAsia"/>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ind w:left="266" w:leftChars="266" w:firstLine="420" w:firstLineChars="150"/>
    </w:pPr>
    <w:rPr>
      <w:sz w:val="28"/>
    </w:r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pPr>
  </w:style>
  <w:style w:type="character" w:customStyle="1" w:styleId="10">
    <w:name w:val="页眉 Char"/>
    <w:basedOn w:val="9"/>
    <w:link w:val="6"/>
    <w:qFormat/>
    <w:uiPriority w:val="0"/>
    <w:rPr>
      <w:rFonts w:ascii="宋体" w:hAnsi="宋体" w:eastAsia="宋体" w:cs="Times New Roman"/>
      <w:sz w:val="18"/>
      <w:szCs w:val="18"/>
    </w:rPr>
  </w:style>
  <w:style w:type="character" w:customStyle="1" w:styleId="11">
    <w:name w:val="页脚 Char"/>
    <w:basedOn w:val="9"/>
    <w:link w:val="5"/>
    <w:qFormat/>
    <w:uiPriority w:val="0"/>
    <w:rPr>
      <w:rFonts w:ascii="宋体" w:hAnsi="宋体" w:eastAsia="宋体" w:cs="Times New Roman"/>
      <w:sz w:val="18"/>
      <w:szCs w:val="18"/>
    </w:rPr>
  </w:style>
  <w:style w:type="character" w:customStyle="1" w:styleId="12">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themeOverride" Target="../theme/themeOverride1.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数据统计图（单位：条）</a:t>
            </a:r>
          </a:p>
        </c:rich>
      </c:tx>
      <c:layout>
        <c:manualLayout>
          <c:xMode val="edge"/>
          <c:yMode val="edge"/>
          <c:x val="0.0238965787411857"/>
          <c:y val="0.0363836824696804"/>
        </c:manualLayout>
      </c:layout>
      <c:overlay val="0"/>
      <c:spPr>
        <a:noFill/>
        <a:ln>
          <a:noFill/>
        </a:ln>
        <a:effectLst/>
      </c:spPr>
    </c:title>
    <c:autoTitleDeleted val="0"/>
    <c:plotArea>
      <c:layout>
        <c:manualLayout>
          <c:layoutTarget val="inner"/>
          <c:xMode val="edge"/>
          <c:yMode val="edge"/>
          <c:x val="0.0914031878756204"/>
          <c:y val="0.208710033076075"/>
          <c:w val="0.837392213221847"/>
          <c:h val="0.645622932745316"/>
        </c:manualLayout>
      </c:layout>
      <c:barChart>
        <c:barDir val="col"/>
        <c:grouping val="clustered"/>
        <c:varyColors val="0"/>
        <c:ser>
          <c:idx val="0"/>
          <c:order val="0"/>
          <c:spPr>
            <a:solidFill>
              <a:srgbClr val="C2010B"/>
            </a:solidFill>
            <a:ln>
              <a:noFill/>
            </a:ln>
            <a:effectLst>
              <a:outerShdw blurRad="101600" dist="38100" dir="8100000" algn="tr" rotWithShape="0">
                <a:prstClr val="black">
                  <a:alpha val="40000"/>
                </a:prst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[工作簿2]Sheet1!$D$12:$N$12</c:f>
              <c:strCache>
                <c:ptCount val="11"/>
                <c:pt idx="0">
                  <c:v>政策法规</c:v>
                </c:pt>
                <c:pt idx="1">
                  <c:v>重大决策预公开</c:v>
                </c:pt>
                <c:pt idx="2">
                  <c:v>规划计划</c:v>
                </c:pt>
                <c:pt idx="3">
                  <c:v>决策部署落实情况</c:v>
                </c:pt>
                <c:pt idx="4">
                  <c:v>财政资金</c:v>
                </c:pt>
                <c:pt idx="5">
                  <c:v>权责清单和动态调整情况</c:v>
                </c:pt>
                <c:pt idx="6">
                  <c:v>“双随机”一公开”</c:v>
                </c:pt>
                <c:pt idx="7">
                  <c:v>重点领域</c:v>
                </c:pt>
                <c:pt idx="8">
                  <c:v>新闻发布</c:v>
                </c:pt>
                <c:pt idx="9">
                  <c:v>政策解读</c:v>
                </c:pt>
                <c:pt idx="10">
                  <c:v>回应关切</c:v>
                </c:pt>
              </c:strCache>
            </c:strRef>
          </c:cat>
          <c:val>
            <c:numRef>
              <c:f>[工作簿2]Sheet1!$D$13:$N$13</c:f>
              <c:numCache>
                <c:formatCode>General</c:formatCode>
                <c:ptCount val="11"/>
                <c:pt idx="0">
                  <c:v>19</c:v>
                </c:pt>
                <c:pt idx="1">
                  <c:v>10</c:v>
                </c:pt>
                <c:pt idx="2">
                  <c:v>4</c:v>
                </c:pt>
                <c:pt idx="3">
                  <c:v>13</c:v>
                </c:pt>
                <c:pt idx="4">
                  <c:v>62</c:v>
                </c:pt>
                <c:pt idx="5">
                  <c:v>19</c:v>
                </c:pt>
                <c:pt idx="6">
                  <c:v>29</c:v>
                </c:pt>
                <c:pt idx="7">
                  <c:v>25</c:v>
                </c:pt>
                <c:pt idx="8">
                  <c:v>8</c:v>
                </c:pt>
                <c:pt idx="9">
                  <c:v>16</c:v>
                </c:pt>
                <c:pt idx="10">
                  <c:v>25</c:v>
                </c:pt>
              </c:numCache>
            </c:numRef>
          </c:val>
        </c:ser>
        <c:dLbls>
          <c:showLegendKey val="0"/>
          <c:showVal val="1"/>
          <c:showCatName val="0"/>
          <c:showSerName val="0"/>
          <c:showPercent val="0"/>
          <c:showBubbleSize val="0"/>
        </c:dLbls>
        <c:gapWidth val="90"/>
        <c:overlap val="20"/>
        <c:axId val="271734272"/>
        <c:axId val="271735808"/>
      </c:barChart>
      <c:catAx>
        <c:axId val="271734272"/>
        <c:scaling>
          <c:orientation val="minMax"/>
        </c:scaling>
        <c:delete val="0"/>
        <c:axPos val="b"/>
        <c:numFmt formatCode="General" sourceLinked="1"/>
        <c:majorTickMark val="out"/>
        <c:minorTickMark val="none"/>
        <c:tickLblPos val="nextTo"/>
        <c:spPr>
          <a:noFill/>
          <a:ln w="9525" cap="flat" cmpd="sng" algn="ctr">
            <a:solidFill>
              <a:schemeClr val="bg1">
                <a:lumMod val="7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71735808"/>
        <c:crosses val="autoZero"/>
        <c:auto val="1"/>
        <c:lblAlgn val="ctr"/>
        <c:lblOffset val="100"/>
        <c:noMultiLvlLbl val="0"/>
      </c:catAx>
      <c:valAx>
        <c:axId val="271735808"/>
        <c:scaling>
          <c:orientation val="minMax"/>
        </c:scaling>
        <c:delete val="0"/>
        <c:axPos val="l"/>
        <c:numFmt formatCode="General" sourceLinked="1"/>
        <c:majorTickMark val="out"/>
        <c:minorTickMark val="none"/>
        <c:tickLblPos val="nextTo"/>
        <c:spPr>
          <a:noFill/>
          <a:ln w="1587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71734272"/>
        <c:crosses val="autoZero"/>
        <c:crossBetween val="between"/>
      </c:valAx>
      <c:spPr>
        <a:noFill/>
        <a:ln>
          <a:noFill/>
        </a:ln>
        <a:effectLst/>
      </c:spPr>
    </c:plotArea>
    <c:legend>
      <c:legendPos val="t"/>
      <c:layout>
        <c:manualLayout>
          <c:xMode val="edge"/>
          <c:yMode val="edge"/>
          <c:x val="0.530114972563366"/>
          <c:y val="0.0749724366041898"/>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108b6b8f-1eeb-491f-b34d-ccb6778fa803}"/>
      </c:ext>
    </c:extLst>
  </c:chart>
  <c:spPr>
    <a:blipFill rotWithShape="1">
      <a:blip xmlns:r="http://schemas.openxmlformats.org/officeDocument/2006/relationships" r:embed="rId3"/>
      <a:stretch>
        <a:fillRect/>
      </a:stretch>
    </a:blipFill>
    <a:ln w="9525" cap="flat" cmpd="sng" algn="ctr">
      <a:noFill/>
      <a:prstDash val="solid"/>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fillRect/>
        </a:stretch>
      </a:blip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China</Company>
  <Pages>7</Pages>
  <Words>1927</Words>
  <Characters>2036</Characters>
  <Lines>23</Lines>
  <Paragraphs>6</Paragraphs>
  <TotalTime>71</TotalTime>
  <ScaleCrop>false</ScaleCrop>
  <LinksUpToDate>false</LinksUpToDate>
  <CharactersWithSpaces>2038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2023-01-13T03:42:00Z</dcterms:created>
  <dc:creator>无事勿扰</dc:creator>
  <cp:lastModifiedBy>波罗蜜冬瓜</cp:lastModifiedBy>
  <cp:lastPrinted>2023-01-13T07:24:00Z</cp:lastPrinted>
  <dcterms:modified xsi:type="dcterms:W3CDTF">2025-05-23T07:28:08Z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A209F75CC5FA435790E123032CD0BDED_13</vt:lpwstr>
  </property>
  <property fmtid="{D5CDD505-2E9C-101B-9397-08002B2CF9AE}" pid="4" name="KSOTemplateDocerSaveRecord">
    <vt:lpwstr>eyJoZGlkIjoiYmU3MDRlNzJkNzhiYzk5YTQ4MDllZmRiYmU0Y2U3ZjIiLCJ1c2VySWQiOiIzNDg3NDgzMjUifQ==</vt:lpwstr>
  </property>
</Properties>
</file>