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6E630">
      <w:pPr>
        <w:jc w:val="center"/>
        <w:rPr>
          <w:rFonts w:hint="eastAsia" w:ascii="宋体" w:hAnsi="宋体"/>
          <w:b/>
          <w:sz w:val="36"/>
          <w:szCs w:val="36"/>
        </w:rPr>
      </w:pPr>
      <w:r>
        <w:rPr>
          <w:rFonts w:hint="eastAsia" w:ascii="仿宋_GB2312"/>
          <w:b/>
          <w:szCs w:val="32"/>
        </w:rPr>
        <w:t>淮北市地方海事（港航）管理服务中心</w:t>
      </w:r>
      <w:r>
        <w:rPr>
          <w:rFonts w:hint="eastAsia" w:ascii="宋体" w:hAnsi="宋体"/>
          <w:b/>
          <w:sz w:val="36"/>
          <w:szCs w:val="36"/>
        </w:rPr>
        <w:t>2023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355F5C21">
      <w:pPr>
        <w:jc w:val="center"/>
        <w:rPr>
          <w:rFonts w:ascii="楷体_GB2312" w:eastAsia="楷体_GB2312"/>
          <w:szCs w:val="32"/>
        </w:rPr>
      </w:pPr>
    </w:p>
    <w:p w14:paraId="1CD7B2EE">
      <w:pPr>
        <w:rPr>
          <w:rFonts w:hint="eastAsia" w:ascii="黑体" w:hAnsi="黑体" w:eastAsia="黑体"/>
          <w:szCs w:val="32"/>
        </w:rPr>
      </w:pPr>
      <w:r>
        <w:rPr>
          <w:rFonts w:hint="eastAsia" w:ascii="黑体" w:hAnsi="黑体" w:eastAsia="黑体"/>
          <w:szCs w:val="32"/>
        </w:rPr>
        <w:t xml:space="preserve">    一、2023年度一般公共预算财政拨款“三公”经费支出决算表</w:t>
      </w:r>
    </w:p>
    <w:p w14:paraId="45532A92">
      <w:pPr>
        <w:rPr>
          <w:rFonts w:hint="eastAsia" w:ascii="黑体" w:hAnsi="黑体" w:eastAsia="黑体"/>
          <w:szCs w:val="32"/>
        </w:rPr>
      </w:pPr>
      <w:r>
        <w:rPr>
          <w:rFonts w:hint="eastAsia" w:ascii="仿宋_GB2312" w:hAnsi="仿宋_GB2312" w:cs="仿宋_GB2312"/>
          <w:szCs w:val="32"/>
        </w:rPr>
        <w:t>单位：                        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0D68ED54">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14:paraId="395936F7">
            <w:pPr>
              <w:widowControl/>
              <w:jc w:val="center"/>
              <w:rPr>
                <w:rFonts w:hint="eastAsia"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14:paraId="53F9CA84">
            <w:pPr>
              <w:widowControl/>
              <w:jc w:val="center"/>
              <w:rPr>
                <w:rFonts w:hint="eastAsia"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14:paraId="24A772CA">
            <w:pPr>
              <w:widowControl/>
              <w:jc w:val="center"/>
              <w:rPr>
                <w:rFonts w:hint="eastAsia" w:ascii="宋体" w:hAnsi="宋体" w:cs="宋体"/>
                <w:b/>
                <w:bCs/>
                <w:kern w:val="0"/>
                <w:szCs w:val="21"/>
              </w:rPr>
            </w:pPr>
            <w:r>
              <w:rPr>
                <w:rFonts w:hint="eastAsia" w:ascii="宋体" w:hAnsi="宋体" w:cs="宋体"/>
                <w:b/>
                <w:bCs/>
                <w:kern w:val="0"/>
                <w:szCs w:val="21"/>
              </w:rPr>
              <w:t>决 算 数</w:t>
            </w:r>
          </w:p>
        </w:tc>
      </w:tr>
      <w:tr w14:paraId="3E8B42A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9FF70A3">
            <w:pPr>
              <w:widowControl/>
              <w:jc w:val="center"/>
              <w:rPr>
                <w:rFonts w:hint="eastAsia"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14:paraId="545E5157">
            <w:pPr>
              <w:widowControl/>
              <w:jc w:val="center"/>
              <w:rPr>
                <w:rFonts w:hint="eastAsia" w:ascii="宋体" w:hAnsi="宋体" w:eastAsia="仿宋_GB2312" w:cs="宋体"/>
                <w:b/>
                <w:bCs/>
                <w:kern w:val="0"/>
                <w:szCs w:val="21"/>
                <w:lang w:eastAsia="zh-CN"/>
              </w:rPr>
            </w:pPr>
            <w:r>
              <w:rPr>
                <w:rFonts w:hint="eastAsia" w:ascii="宋体" w:hAnsi="宋体" w:cs="宋体"/>
                <w:b/>
                <w:bCs/>
                <w:kern w:val="0"/>
                <w:szCs w:val="21"/>
              </w:rPr>
              <w:t>6.2</w:t>
            </w:r>
            <w:r>
              <w:rPr>
                <w:rFonts w:hint="eastAsia" w:ascii="宋体" w:hAnsi="宋体" w:cs="宋体"/>
                <w:b/>
                <w:bCs/>
                <w:kern w:val="0"/>
                <w:szCs w:val="21"/>
                <w:lang w:val="en-US" w:eastAsia="zh-CN"/>
              </w:rPr>
              <w:t>6</w:t>
            </w:r>
          </w:p>
        </w:tc>
        <w:tc>
          <w:tcPr>
            <w:tcW w:w="2220" w:type="dxa"/>
            <w:tcBorders>
              <w:top w:val="nil"/>
              <w:left w:val="nil"/>
              <w:bottom w:val="single" w:color="auto" w:sz="4" w:space="0"/>
              <w:right w:val="single" w:color="auto" w:sz="4" w:space="0"/>
            </w:tcBorders>
            <w:vAlign w:val="center"/>
          </w:tcPr>
          <w:p w14:paraId="333B1C7A">
            <w:pPr>
              <w:widowControl/>
              <w:jc w:val="center"/>
              <w:rPr>
                <w:rFonts w:hint="eastAsia" w:ascii="宋体" w:hAnsi="宋体" w:eastAsia="仿宋_GB2312" w:cs="宋体"/>
                <w:b/>
                <w:bCs/>
                <w:kern w:val="0"/>
                <w:szCs w:val="21"/>
                <w:lang w:eastAsia="zh-CN"/>
              </w:rPr>
            </w:pPr>
            <w:r>
              <w:rPr>
                <w:rFonts w:hint="eastAsia" w:ascii="宋体" w:hAnsi="宋体" w:cs="宋体"/>
                <w:b/>
                <w:bCs/>
                <w:kern w:val="0"/>
                <w:szCs w:val="21"/>
              </w:rPr>
              <w:t>6.2</w:t>
            </w:r>
            <w:r>
              <w:rPr>
                <w:rFonts w:hint="eastAsia" w:ascii="宋体" w:hAnsi="宋体" w:cs="宋体"/>
                <w:b/>
                <w:bCs/>
                <w:kern w:val="0"/>
                <w:szCs w:val="21"/>
                <w:lang w:val="en-US" w:eastAsia="zh-CN"/>
              </w:rPr>
              <w:t>6</w:t>
            </w:r>
          </w:p>
        </w:tc>
      </w:tr>
      <w:tr w14:paraId="1D20F48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39C6EFC">
            <w:pPr>
              <w:widowControl/>
              <w:jc w:val="left"/>
              <w:rPr>
                <w:rFonts w:hint="eastAsia"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14:paraId="246CB2A1">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171799C3">
            <w:pPr>
              <w:widowControl/>
              <w:jc w:val="center"/>
              <w:rPr>
                <w:rFonts w:hint="eastAsia" w:ascii="宋体" w:hAnsi="宋体" w:cs="宋体"/>
                <w:kern w:val="0"/>
                <w:szCs w:val="21"/>
              </w:rPr>
            </w:pPr>
            <w:r>
              <w:rPr>
                <w:rFonts w:hint="eastAsia" w:ascii="宋体" w:hAnsi="宋体" w:cs="宋体"/>
                <w:kern w:val="0"/>
                <w:szCs w:val="21"/>
              </w:rPr>
              <w:t>0</w:t>
            </w:r>
          </w:p>
        </w:tc>
      </w:tr>
      <w:tr w14:paraId="329553A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7DC4EEC0">
            <w:pPr>
              <w:widowControl/>
              <w:jc w:val="left"/>
              <w:rPr>
                <w:rFonts w:hint="eastAsia"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14:paraId="47C650F2">
            <w:pPr>
              <w:widowControl/>
              <w:tabs>
                <w:tab w:val="center" w:pos="970"/>
              </w:tabs>
              <w:jc w:val="center"/>
              <w:rPr>
                <w:rFonts w:hint="eastAsia" w:ascii="宋体" w:hAnsi="宋体" w:cs="宋体"/>
                <w:kern w:val="0"/>
                <w:szCs w:val="21"/>
              </w:rPr>
            </w:pPr>
            <w:r>
              <w:rPr>
                <w:rFonts w:hint="eastAsia" w:ascii="宋体" w:hAnsi="宋体" w:cs="宋体"/>
                <w:kern w:val="0"/>
                <w:szCs w:val="21"/>
              </w:rPr>
              <w:t>2.07</w:t>
            </w:r>
          </w:p>
        </w:tc>
        <w:tc>
          <w:tcPr>
            <w:tcW w:w="2220" w:type="dxa"/>
            <w:tcBorders>
              <w:top w:val="nil"/>
              <w:left w:val="nil"/>
              <w:bottom w:val="single" w:color="auto" w:sz="4" w:space="0"/>
              <w:right w:val="single" w:color="auto" w:sz="4" w:space="0"/>
            </w:tcBorders>
            <w:vAlign w:val="bottom"/>
          </w:tcPr>
          <w:p w14:paraId="77BB0DFF">
            <w:pPr>
              <w:widowControl/>
              <w:jc w:val="center"/>
              <w:rPr>
                <w:rFonts w:hint="eastAsia" w:ascii="宋体" w:hAnsi="宋体" w:cs="宋体"/>
                <w:kern w:val="0"/>
                <w:szCs w:val="21"/>
              </w:rPr>
            </w:pPr>
            <w:r>
              <w:rPr>
                <w:rFonts w:hint="eastAsia" w:ascii="宋体" w:hAnsi="宋体" w:cs="宋体"/>
                <w:kern w:val="0"/>
                <w:szCs w:val="21"/>
              </w:rPr>
              <w:t>2.07</w:t>
            </w:r>
          </w:p>
        </w:tc>
      </w:tr>
      <w:tr w14:paraId="53C5E64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070F377C">
            <w:pPr>
              <w:widowControl/>
              <w:jc w:val="left"/>
              <w:rPr>
                <w:rFonts w:hint="eastAsia"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14:paraId="1FD4AA01">
            <w:pPr>
              <w:widowControl/>
              <w:jc w:val="center"/>
              <w:rPr>
                <w:rFonts w:hint="eastAsia" w:ascii="宋体" w:hAnsi="宋体" w:cs="宋体"/>
                <w:kern w:val="0"/>
                <w:szCs w:val="21"/>
              </w:rPr>
            </w:pPr>
            <w:r>
              <w:rPr>
                <w:rFonts w:hint="eastAsia" w:ascii="宋体" w:hAnsi="宋体" w:cs="宋体"/>
                <w:kern w:val="0"/>
                <w:szCs w:val="21"/>
              </w:rPr>
              <w:t>4.19</w:t>
            </w:r>
          </w:p>
        </w:tc>
        <w:tc>
          <w:tcPr>
            <w:tcW w:w="2220" w:type="dxa"/>
            <w:tcBorders>
              <w:top w:val="nil"/>
              <w:left w:val="nil"/>
              <w:bottom w:val="single" w:color="auto" w:sz="4" w:space="0"/>
              <w:right w:val="single" w:color="auto" w:sz="4" w:space="0"/>
            </w:tcBorders>
            <w:vAlign w:val="bottom"/>
          </w:tcPr>
          <w:p w14:paraId="68998EAF">
            <w:pPr>
              <w:widowControl/>
              <w:jc w:val="center"/>
              <w:rPr>
                <w:rFonts w:hint="eastAsia" w:ascii="宋体" w:hAnsi="宋体" w:cs="宋体"/>
                <w:kern w:val="0"/>
                <w:szCs w:val="21"/>
              </w:rPr>
            </w:pPr>
            <w:r>
              <w:rPr>
                <w:rFonts w:hint="eastAsia" w:ascii="宋体" w:hAnsi="宋体" w:cs="宋体"/>
                <w:kern w:val="0"/>
                <w:szCs w:val="21"/>
              </w:rPr>
              <w:t>4.19</w:t>
            </w:r>
          </w:p>
        </w:tc>
      </w:tr>
      <w:tr w14:paraId="696D7A2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2720A08A">
            <w:pPr>
              <w:widowControl/>
              <w:jc w:val="left"/>
              <w:rPr>
                <w:rFonts w:hint="eastAsia"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vAlign w:val="bottom"/>
          </w:tcPr>
          <w:p w14:paraId="44A87FB6">
            <w:pPr>
              <w:widowControl/>
              <w:jc w:val="center"/>
              <w:rPr>
                <w:rFonts w:hint="eastAsia"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14:paraId="0F661F2F">
            <w:pPr>
              <w:widowControl/>
              <w:jc w:val="center"/>
              <w:rPr>
                <w:rFonts w:hint="eastAsia" w:ascii="宋体" w:hAnsi="宋体" w:cs="宋体"/>
                <w:kern w:val="0"/>
                <w:szCs w:val="21"/>
              </w:rPr>
            </w:pPr>
            <w:r>
              <w:rPr>
                <w:rFonts w:hint="eastAsia" w:ascii="宋体" w:hAnsi="宋体" w:cs="宋体"/>
                <w:kern w:val="0"/>
                <w:szCs w:val="21"/>
              </w:rPr>
              <w:t>0</w:t>
            </w:r>
          </w:p>
        </w:tc>
      </w:tr>
      <w:tr w14:paraId="40A2B54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14:paraId="65EAF295">
            <w:pPr>
              <w:widowControl/>
              <w:jc w:val="left"/>
              <w:rPr>
                <w:rFonts w:hint="eastAsia"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vAlign w:val="bottom"/>
          </w:tcPr>
          <w:p w14:paraId="166520B9">
            <w:pPr>
              <w:widowControl/>
              <w:jc w:val="center"/>
              <w:rPr>
                <w:rFonts w:hint="eastAsia" w:ascii="宋体" w:hAnsi="宋体" w:cs="宋体"/>
                <w:kern w:val="0"/>
                <w:szCs w:val="21"/>
              </w:rPr>
            </w:pPr>
            <w:r>
              <w:rPr>
                <w:rFonts w:hint="eastAsia" w:ascii="宋体" w:hAnsi="宋体" w:cs="宋体"/>
                <w:kern w:val="0"/>
                <w:szCs w:val="21"/>
              </w:rPr>
              <w:t>4.19</w:t>
            </w:r>
          </w:p>
        </w:tc>
        <w:tc>
          <w:tcPr>
            <w:tcW w:w="2220" w:type="dxa"/>
            <w:tcBorders>
              <w:top w:val="nil"/>
              <w:left w:val="nil"/>
              <w:bottom w:val="single" w:color="auto" w:sz="4" w:space="0"/>
              <w:right w:val="single" w:color="auto" w:sz="4" w:space="0"/>
            </w:tcBorders>
            <w:vAlign w:val="bottom"/>
          </w:tcPr>
          <w:p w14:paraId="3B7D764E">
            <w:pPr>
              <w:widowControl/>
              <w:jc w:val="center"/>
              <w:rPr>
                <w:rFonts w:hint="eastAsia" w:ascii="宋体" w:hAnsi="宋体" w:cs="宋体"/>
                <w:kern w:val="0"/>
                <w:szCs w:val="21"/>
              </w:rPr>
            </w:pPr>
            <w:r>
              <w:rPr>
                <w:rFonts w:hint="eastAsia" w:ascii="宋体" w:hAnsi="宋体" w:cs="宋体"/>
                <w:kern w:val="0"/>
                <w:szCs w:val="21"/>
              </w:rPr>
              <w:t>4.19</w:t>
            </w:r>
          </w:p>
        </w:tc>
      </w:tr>
    </w:tbl>
    <w:p w14:paraId="3C3ACED9">
      <w:pPr>
        <w:spacing w:line="300" w:lineRule="exact"/>
        <w:rPr>
          <w:rFonts w:hint="eastAsia" w:ascii="仿宋_GB2312" w:hAnsi="仿宋"/>
          <w:sz w:val="21"/>
          <w:szCs w:val="21"/>
        </w:rPr>
      </w:pPr>
    </w:p>
    <w:p w14:paraId="2D0D8B0A">
      <w:pPr>
        <w:spacing w:line="300" w:lineRule="exact"/>
        <w:rPr>
          <w:rFonts w:hint="eastAsia" w:ascii="黑体" w:hAnsi="黑体" w:eastAsia="黑体"/>
          <w:szCs w:val="32"/>
        </w:rPr>
      </w:pPr>
      <w:r>
        <w:rPr>
          <w:rFonts w:hint="eastAsia" w:ascii="仿宋_GB2312" w:hAnsi="仿宋"/>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仿宋_GB2312" w:hAnsi="仿宋"/>
          <w:szCs w:val="32"/>
        </w:rPr>
        <w:t xml:space="preserve">  </w:t>
      </w:r>
      <w:r>
        <w:rPr>
          <w:rFonts w:hint="eastAsia" w:ascii="黑体" w:hAnsi="黑体" w:eastAsia="黑体"/>
          <w:szCs w:val="32"/>
        </w:rPr>
        <w:t xml:space="preserve">                                    </w:t>
      </w:r>
    </w:p>
    <w:p w14:paraId="67777331">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54694DB1">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0550E8D4">
      <w:pPr>
        <w:ind w:firstLine="640" w:firstLineChars="200"/>
        <w:rPr>
          <w:rFonts w:hint="eastAsia" w:ascii="楷体_GB2312" w:hAnsi="仿宋" w:eastAsia="楷体_GB2312"/>
          <w:szCs w:val="32"/>
        </w:rPr>
      </w:pPr>
      <w:r>
        <w:rPr>
          <w:rFonts w:hint="eastAsia" w:ascii="仿宋_GB2312" w:hAnsi="仿宋"/>
          <w:szCs w:val="32"/>
        </w:rPr>
        <w:t>淮北市地方海事（港航）管理服务中心2023年度一般公共预算财政拨款“三公”经费支出预算为6.2</w:t>
      </w:r>
      <w:r>
        <w:rPr>
          <w:rFonts w:hint="eastAsia" w:ascii="仿宋_GB2312" w:hAnsi="仿宋"/>
          <w:szCs w:val="32"/>
          <w:lang w:val="en-US" w:eastAsia="zh-CN"/>
        </w:rPr>
        <w:t>6</w:t>
      </w:r>
      <w:r>
        <w:rPr>
          <w:rFonts w:hint="eastAsia" w:ascii="仿宋_GB2312" w:hAnsi="仿宋"/>
          <w:szCs w:val="32"/>
        </w:rPr>
        <w:t>万元，支出决算为6.2</w:t>
      </w:r>
      <w:r>
        <w:rPr>
          <w:rFonts w:hint="eastAsia" w:ascii="仿宋_GB2312" w:hAnsi="仿宋"/>
          <w:szCs w:val="32"/>
          <w:lang w:val="en-US" w:eastAsia="zh-CN"/>
        </w:rPr>
        <w:t>6</w:t>
      </w:r>
      <w:r>
        <w:rPr>
          <w:rFonts w:hint="eastAsia" w:ascii="仿宋_GB2312" w:hAnsi="仿宋"/>
          <w:szCs w:val="32"/>
        </w:rPr>
        <w:t>万元，完成</w:t>
      </w:r>
      <w:bookmarkStart w:id="1" w:name="_GoBack"/>
      <w:bookmarkEnd w:id="1"/>
      <w:r>
        <w:rPr>
          <w:rFonts w:hint="eastAsia" w:ascii="仿宋_GB2312" w:hAnsi="仿宋"/>
          <w:szCs w:val="32"/>
        </w:rPr>
        <w:t>预算的100%，较上年减少0.545万元，下降8%。决算数等于预算数的主要原因是严格执行公务接待规定。决算数较上年减少的主要原因是</w:t>
      </w:r>
      <w:r>
        <w:rPr>
          <w:rFonts w:hint="eastAsia" w:ascii="仿宋_GB2312" w:hAnsi="仿宋"/>
          <w:szCs w:val="32"/>
          <w:lang w:val="en-US" w:eastAsia="zh-CN"/>
        </w:rPr>
        <w:t>压缩三公经费支出</w:t>
      </w:r>
      <w:r>
        <w:rPr>
          <w:rFonts w:hint="eastAsia" w:ascii="仿宋_GB2312" w:hAnsi="仿宋"/>
          <w:szCs w:val="32"/>
        </w:rPr>
        <w:t>。</w:t>
      </w:r>
    </w:p>
    <w:p w14:paraId="0981DC67">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2B85E243">
      <w:pPr>
        <w:ind w:firstLine="640" w:firstLineChars="200"/>
        <w:rPr>
          <w:rFonts w:hint="eastAsia" w:ascii="仿宋_GB2312" w:hAnsi="仿宋"/>
          <w:szCs w:val="32"/>
        </w:rPr>
      </w:pPr>
      <w:bookmarkStart w:id="0" w:name="_Hlk178185635"/>
      <w:r>
        <w:rPr>
          <w:rFonts w:hint="eastAsia" w:ascii="仿宋_GB2312" w:hAnsi="仿宋"/>
          <w:szCs w:val="32"/>
        </w:rPr>
        <w:t>淮北市地方海事（港航）管理服务中心</w:t>
      </w:r>
      <w:bookmarkEnd w:id="0"/>
      <w:r>
        <w:rPr>
          <w:rFonts w:hint="eastAsia" w:ascii="仿宋_GB2312" w:hAnsi="仿宋"/>
          <w:szCs w:val="32"/>
        </w:rPr>
        <w:t>2023年度一般公共预算财政拨款“三公”经费支出决算中，因公出国（境）费支出决算0万元，占0%;公务接待费支出决算2.07万元，占33.01%；公务用车购置及运行维护费支出决算4.19万元，占66.83%。具体情况如下：</w:t>
      </w:r>
    </w:p>
    <w:p w14:paraId="268CB3DB">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rPr>
        <w:t>预算为0万元，支出决算为0万元，完成预算的100%，决算数与预算数相同；较上年减少0万元，下降0%。原因是2022年度、2023年度均未安排因公出国（境）计划。故2023年淮北市地方海事（港航）管理服务中心因公出国（境）团组0次，出国（境）0人次。</w:t>
      </w:r>
    </w:p>
    <w:p w14:paraId="5496A744">
      <w:pPr>
        <w:ind w:firstLine="643"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rPr>
        <w:t>预算为2.07万元，支出决算为2.07万元，完成预算的100%；较上年减少1.54万元，下降42.66%。决算数较上年减少的主要原因是严格执行公务接待规定。2023年淮北市地方海事（港航）管理服务中心国内公务接待共10批次（其中外事接待0批次），42人次（其中外事接待0人次）。主要是用于招商引资接待。经费使用贯彻中央八项规定精神和省委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2C76EC4A">
      <w:pPr>
        <w:ind w:firstLine="643" w:firstLineChars="200"/>
        <w:rPr>
          <w:rFonts w:ascii="仿宋_GB2312" w:hAnsi="仿宋"/>
          <w:szCs w:val="32"/>
        </w:rPr>
      </w:pPr>
      <w:r>
        <w:rPr>
          <w:rFonts w:hint="eastAsia" w:ascii="仿宋_GB2312" w:hAnsi="仿宋"/>
          <w:b/>
          <w:bCs/>
          <w:szCs w:val="32"/>
        </w:rPr>
        <w:t>3.公务用车购置及运行维护费</w:t>
      </w:r>
      <w:r>
        <w:rPr>
          <w:rFonts w:hint="eastAsia" w:ascii="仿宋_GB2312" w:hAnsi="仿宋"/>
          <w:szCs w:val="32"/>
        </w:rPr>
        <w:t>预算为4.19万元，支出决算为4.19万元，完成预算的100%；较上年减少2.625万元，下降38.52%。决算数小于预算数的主要原因是严格执行公务用车制度。决算数较上年减少的主要原因是</w:t>
      </w:r>
      <w:r>
        <w:rPr>
          <w:rFonts w:hint="eastAsia" w:ascii="仿宋_GB2312" w:hAnsi="仿宋"/>
          <w:szCs w:val="32"/>
          <w:lang w:val="en-US" w:eastAsia="zh-CN"/>
        </w:rPr>
        <w:t>压缩支出</w:t>
      </w:r>
      <w:r>
        <w:rPr>
          <w:rFonts w:hint="eastAsia" w:ascii="仿宋_GB2312" w:hAnsi="仿宋"/>
          <w:szCs w:val="32"/>
        </w:rPr>
        <w:t>。其中2023年没有安排公务用车购置费。公务用车运行维护费预算为4.19万元，支出决算为4.19万元，完成预算的100%；较上年减少2.625万元，下降38.52%。决算数小于预算数的主要原因是严格执行公务用车制度。决算数较上年减少的主要原因是严格执行公务用车制度。公务用车运行维护费，包括车辆燃料费、维修费、过路过桥费、保险费等支出，主要用于正常公务用车维护。截至2023年12月31日，淮北市地方海事（港航）管理服务中心开支财政拨款的公务用车保有量为3辆。</w:t>
      </w:r>
    </w:p>
    <w:p w14:paraId="7D5B517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0NWY3ZmE4MzljNGZkYjg0NGM1NzEwZGM0MzNjN2UifQ=="/>
    <w:docVar w:name="KSO_WPS_MARK_KEY" w:val="8662936e-100a-4d4c-a42f-289987c82b8e"/>
  </w:docVars>
  <w:rsids>
    <w:rsidRoot w:val="009E4D44"/>
    <w:rsid w:val="00276517"/>
    <w:rsid w:val="005E3803"/>
    <w:rsid w:val="009E4D44"/>
    <w:rsid w:val="00CC3FAD"/>
    <w:rsid w:val="00D13ACF"/>
    <w:rsid w:val="04BE7011"/>
    <w:rsid w:val="0FD733E1"/>
    <w:rsid w:val="197D7265"/>
    <w:rsid w:val="32961709"/>
    <w:rsid w:val="4FC97CE0"/>
    <w:rsid w:val="56492392"/>
    <w:rsid w:val="6007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_GB2312" w:cs="Times New Roman"/>
      <w:kern w:val="2"/>
      <w:sz w:val="32"/>
      <w:szCs w:val="20"/>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3">
    <w:name w:val="header"/>
    <w:basedOn w:val="1"/>
    <w:link w:val="6"/>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1242</Words>
  <Characters>1404</Characters>
  <Lines>11</Lines>
  <Paragraphs>3</Paragraphs>
  <TotalTime>4</TotalTime>
  <ScaleCrop>false</ScaleCrop>
  <LinksUpToDate>false</LinksUpToDate>
  <CharactersWithSpaces>1494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2024-09-25T11:25:00Z</dcterms:created>
  <dc:creator>宇航 张</dc:creator>
  <cp:lastModifiedBy>Administrator</cp:lastModifiedBy>
  <dcterms:modified xsi:type="dcterms:W3CDTF">2024-12-18T02:36:07Z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093306BD4D1B4FE39B0968F98D8F793B_13</vt:lpwstr>
  </property>
</Properties>
</file>