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854DA">
      <w:pPr>
        <w:jc w:val="both"/>
        <w:rPr>
          <w:rFonts w:hint="default" w:ascii="黑体" w:hAnsi="黑体" w:eastAsia="黑体" w:cs="黑体"/>
          <w:b w:val="0"/>
          <w:bCs/>
          <w:sz w:val="32"/>
          <w:szCs w:val="32"/>
          <w:lang w:val="en-US" w:eastAsia="zh-CN"/>
        </w:rPr>
      </w:pPr>
    </w:p>
    <w:p w14:paraId="34083DDA">
      <w:pPr>
        <w:jc w:val="both"/>
        <w:rPr>
          <w:rFonts w:hint="default" w:ascii="黑体" w:hAnsi="黑体" w:eastAsia="黑体" w:cs="黑体"/>
          <w:b w:val="0"/>
          <w:bCs/>
          <w:sz w:val="32"/>
          <w:szCs w:val="32"/>
          <w:lang w:val="en-US" w:eastAsia="zh-CN"/>
        </w:rPr>
      </w:pPr>
    </w:p>
    <w:p w14:paraId="240B4219">
      <w:pPr>
        <w:jc w:val="center"/>
        <w:rPr>
          <w:rFonts w:hint="eastAsia" w:ascii="宋体" w:hAnsi="宋体"/>
          <w:b/>
          <w:sz w:val="36"/>
          <w:szCs w:val="36"/>
        </w:rPr>
      </w:pPr>
      <w:r>
        <w:rPr>
          <w:rFonts w:hint="eastAsia" w:ascii="宋体" w:hAnsi="宋体"/>
          <w:b/>
          <w:sz w:val="36"/>
          <w:szCs w:val="36"/>
          <w:lang w:eastAsia="zh-CN"/>
        </w:rPr>
        <w:t>淮北市</w:t>
      </w:r>
      <w:r>
        <w:rPr>
          <w:rFonts w:hint="eastAsia" w:ascii="宋体" w:hAnsi="宋体"/>
          <w:b/>
          <w:sz w:val="36"/>
          <w:szCs w:val="36"/>
          <w:lang w:val="en-US" w:eastAsia="zh-CN"/>
        </w:rPr>
        <w:t>邮政业安全中心</w:t>
      </w:r>
      <w:r>
        <w:rPr>
          <w:rFonts w:hint="eastAsia" w:ascii="宋体" w:hAnsi="宋体"/>
          <w:b/>
          <w:sz w:val="36"/>
          <w:szCs w:val="36"/>
          <w:lang w:eastAsia="zh-CN"/>
        </w:rPr>
        <w:t>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0D226F0D">
      <w:pPr>
        <w:jc w:val="both"/>
        <w:rPr>
          <w:rFonts w:hint="eastAsia" w:ascii="楷体_GB2312" w:eastAsia="楷体_GB2312"/>
          <w:szCs w:val="32"/>
        </w:rPr>
      </w:pPr>
    </w:p>
    <w:p w14:paraId="47A4F4DB">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591C52B8">
      <w:pPr>
        <w:jc w:val="right"/>
        <w:rPr>
          <w:rFonts w:hint="eastAsia" w:ascii="黑体" w:hAnsi="黑体" w:eastAsia="黑体"/>
          <w:szCs w:val="32"/>
        </w:rPr>
      </w:pPr>
      <w:r>
        <w:rPr>
          <w:rFonts w:hint="eastAsia" w:ascii="仿宋_GB2312" w:hAnsi="仿宋_GB2312" w:cs="仿宋_GB2312"/>
          <w:szCs w:val="32"/>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337B4383">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219BC8C3">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003BB8AE">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18EFEEDB">
            <w:pPr>
              <w:widowControl/>
              <w:jc w:val="center"/>
              <w:rPr>
                <w:rFonts w:ascii="宋体" w:hAnsi="宋体" w:cs="宋体"/>
                <w:b/>
                <w:bCs/>
                <w:kern w:val="0"/>
                <w:szCs w:val="21"/>
              </w:rPr>
            </w:pPr>
            <w:r>
              <w:rPr>
                <w:rFonts w:hint="eastAsia" w:ascii="宋体" w:hAnsi="宋体" w:cs="宋体"/>
                <w:b/>
                <w:bCs/>
                <w:kern w:val="0"/>
                <w:szCs w:val="21"/>
              </w:rPr>
              <w:t>决 算 数</w:t>
            </w:r>
          </w:p>
        </w:tc>
      </w:tr>
      <w:tr w14:paraId="4B1B3E2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2D8F6A0">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5F73EF76">
            <w:pPr>
              <w:widowControl/>
              <w:jc w:val="center"/>
              <w:rPr>
                <w:rFonts w:hint="eastAsia" w:ascii="宋体" w:hAnsi="宋体" w:eastAsia="仿宋_GB2312" w:cs="宋体"/>
                <w:b/>
                <w:bCs/>
                <w:kern w:val="0"/>
                <w:szCs w:val="21"/>
                <w:lang w:val="en-US" w:eastAsia="zh-CN"/>
              </w:rPr>
            </w:pPr>
            <w:r>
              <w:rPr>
                <w:rFonts w:hint="eastAsia" w:ascii="宋体" w:hAnsi="宋体" w:cs="宋体"/>
                <w:b/>
                <w:bCs/>
                <w:kern w:val="0"/>
                <w:szCs w:val="21"/>
                <w:lang w:val="en-US" w:eastAsia="zh-CN"/>
              </w:rPr>
              <w:t>1</w:t>
            </w:r>
          </w:p>
        </w:tc>
        <w:tc>
          <w:tcPr>
            <w:tcW w:w="2220" w:type="dxa"/>
            <w:tcBorders>
              <w:top w:val="nil"/>
              <w:left w:val="nil"/>
              <w:bottom w:val="single" w:color="auto" w:sz="4" w:space="0"/>
              <w:right w:val="single" w:color="auto" w:sz="4" w:space="0"/>
            </w:tcBorders>
            <w:noWrap w:val="0"/>
            <w:vAlign w:val="center"/>
          </w:tcPr>
          <w:p w14:paraId="212B74E5">
            <w:pPr>
              <w:widowControl/>
              <w:jc w:val="center"/>
              <w:rPr>
                <w:rFonts w:ascii="宋体" w:hAnsi="宋体" w:cs="宋体"/>
                <w:b/>
                <w:bCs/>
                <w:kern w:val="0"/>
                <w:szCs w:val="21"/>
              </w:rPr>
            </w:pPr>
            <w:r>
              <w:rPr>
                <w:rFonts w:hint="eastAsia" w:ascii="宋体" w:hAnsi="宋体" w:cs="宋体"/>
                <w:b/>
                <w:bCs/>
                <w:kern w:val="0"/>
                <w:szCs w:val="21"/>
                <w:lang w:val="en-US" w:eastAsia="zh-CN"/>
              </w:rPr>
              <w:t>0.56</w:t>
            </w:r>
          </w:p>
        </w:tc>
      </w:tr>
      <w:tr w14:paraId="2B9830E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040073F">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38BCA1DE">
            <w:pPr>
              <w:widowControl/>
              <w:jc w:val="center"/>
              <w:rPr>
                <w:rFonts w:hint="eastAsia" w:ascii="宋体" w:hAnsi="宋体" w:eastAsia="仿宋_GB2312" w:cs="宋体"/>
                <w:kern w:val="0"/>
                <w:szCs w:val="21"/>
                <w:lang w:val="en-US" w:eastAsia="zh-CN"/>
              </w:rPr>
            </w:pPr>
          </w:p>
        </w:tc>
        <w:tc>
          <w:tcPr>
            <w:tcW w:w="2220" w:type="dxa"/>
            <w:tcBorders>
              <w:top w:val="nil"/>
              <w:left w:val="nil"/>
              <w:bottom w:val="single" w:color="auto" w:sz="4" w:space="0"/>
              <w:right w:val="single" w:color="auto" w:sz="4" w:space="0"/>
            </w:tcBorders>
            <w:noWrap w:val="0"/>
            <w:vAlign w:val="bottom"/>
          </w:tcPr>
          <w:p w14:paraId="3B884959">
            <w:pPr>
              <w:widowControl/>
              <w:jc w:val="center"/>
              <w:rPr>
                <w:rFonts w:hint="eastAsia" w:ascii="宋体" w:hAnsi="宋体" w:eastAsia="仿宋_GB2312" w:cs="宋体"/>
                <w:kern w:val="0"/>
                <w:szCs w:val="21"/>
                <w:lang w:val="en-US" w:eastAsia="zh-CN"/>
              </w:rPr>
            </w:pPr>
          </w:p>
        </w:tc>
      </w:tr>
      <w:tr w14:paraId="5FE392F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9F4D760">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3C64711A">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1</w:t>
            </w:r>
          </w:p>
        </w:tc>
        <w:tc>
          <w:tcPr>
            <w:tcW w:w="2220" w:type="dxa"/>
            <w:tcBorders>
              <w:top w:val="nil"/>
              <w:left w:val="nil"/>
              <w:bottom w:val="single" w:color="auto" w:sz="4" w:space="0"/>
              <w:right w:val="single" w:color="auto" w:sz="4" w:space="0"/>
            </w:tcBorders>
            <w:noWrap w:val="0"/>
            <w:vAlign w:val="bottom"/>
          </w:tcPr>
          <w:p w14:paraId="7C62FF76">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0.56</w:t>
            </w:r>
          </w:p>
        </w:tc>
      </w:tr>
      <w:tr w14:paraId="6546D2D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D32BA3A">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2F804009">
            <w:pPr>
              <w:widowControl/>
              <w:jc w:val="center"/>
              <w:rPr>
                <w:rFonts w:hint="eastAsia" w:ascii="宋体" w:hAnsi="宋体" w:eastAsia="仿宋_GB2312" w:cs="宋体"/>
                <w:kern w:val="0"/>
                <w:szCs w:val="21"/>
                <w:lang w:val="en-US" w:eastAsia="zh-CN"/>
              </w:rPr>
            </w:pPr>
          </w:p>
        </w:tc>
        <w:tc>
          <w:tcPr>
            <w:tcW w:w="2220" w:type="dxa"/>
            <w:tcBorders>
              <w:top w:val="nil"/>
              <w:left w:val="nil"/>
              <w:bottom w:val="single" w:color="auto" w:sz="4" w:space="0"/>
              <w:right w:val="single" w:color="auto" w:sz="4" w:space="0"/>
            </w:tcBorders>
            <w:noWrap w:val="0"/>
            <w:vAlign w:val="bottom"/>
          </w:tcPr>
          <w:p w14:paraId="2A0DA475">
            <w:pPr>
              <w:widowControl/>
              <w:jc w:val="center"/>
              <w:rPr>
                <w:rFonts w:hint="eastAsia" w:ascii="宋体" w:hAnsi="宋体" w:eastAsia="仿宋_GB2312" w:cs="宋体"/>
                <w:kern w:val="0"/>
                <w:szCs w:val="21"/>
                <w:lang w:val="en-US" w:eastAsia="zh-CN"/>
              </w:rPr>
            </w:pPr>
          </w:p>
        </w:tc>
      </w:tr>
      <w:tr w14:paraId="5924560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306B70D">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52AB69D9">
            <w:pPr>
              <w:widowControl/>
              <w:jc w:val="center"/>
              <w:rPr>
                <w:rFonts w:hint="eastAsia" w:ascii="宋体" w:hAnsi="宋体" w:eastAsia="仿宋_GB2312" w:cs="宋体"/>
                <w:kern w:val="0"/>
                <w:szCs w:val="21"/>
                <w:lang w:val="en-US" w:eastAsia="zh-CN"/>
              </w:rPr>
            </w:pPr>
          </w:p>
        </w:tc>
        <w:tc>
          <w:tcPr>
            <w:tcW w:w="2220" w:type="dxa"/>
            <w:tcBorders>
              <w:top w:val="nil"/>
              <w:left w:val="nil"/>
              <w:bottom w:val="single" w:color="auto" w:sz="4" w:space="0"/>
              <w:right w:val="single" w:color="auto" w:sz="4" w:space="0"/>
            </w:tcBorders>
            <w:noWrap w:val="0"/>
            <w:vAlign w:val="bottom"/>
          </w:tcPr>
          <w:p w14:paraId="311CD1D5">
            <w:pPr>
              <w:widowControl/>
              <w:jc w:val="center"/>
              <w:rPr>
                <w:rFonts w:hint="eastAsia" w:ascii="宋体" w:hAnsi="宋体" w:eastAsia="仿宋_GB2312" w:cs="宋体"/>
                <w:kern w:val="0"/>
                <w:szCs w:val="21"/>
                <w:lang w:val="en-US" w:eastAsia="zh-CN"/>
              </w:rPr>
            </w:pPr>
          </w:p>
        </w:tc>
      </w:tr>
      <w:tr w14:paraId="342806F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2E12FAA">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14:paraId="727E61B5">
            <w:pPr>
              <w:widowControl/>
              <w:jc w:val="center"/>
              <w:rPr>
                <w:rFonts w:hint="eastAsia" w:ascii="宋体" w:hAnsi="宋体" w:eastAsia="仿宋_GB2312" w:cs="宋体"/>
                <w:kern w:val="0"/>
                <w:szCs w:val="21"/>
                <w:lang w:val="en-US" w:eastAsia="zh-CN"/>
              </w:rPr>
            </w:pPr>
          </w:p>
        </w:tc>
        <w:tc>
          <w:tcPr>
            <w:tcW w:w="2220" w:type="dxa"/>
            <w:tcBorders>
              <w:top w:val="nil"/>
              <w:left w:val="nil"/>
              <w:bottom w:val="single" w:color="auto" w:sz="4" w:space="0"/>
              <w:right w:val="single" w:color="auto" w:sz="4" w:space="0"/>
            </w:tcBorders>
            <w:noWrap w:val="0"/>
            <w:vAlign w:val="bottom"/>
          </w:tcPr>
          <w:p w14:paraId="4A8484A6">
            <w:pPr>
              <w:widowControl/>
              <w:jc w:val="center"/>
              <w:rPr>
                <w:rFonts w:hint="eastAsia" w:ascii="宋体" w:hAnsi="宋体" w:eastAsia="仿宋_GB2312" w:cs="宋体"/>
                <w:kern w:val="0"/>
                <w:szCs w:val="21"/>
                <w:lang w:val="en-US" w:eastAsia="zh-CN"/>
              </w:rPr>
            </w:pPr>
          </w:p>
        </w:tc>
      </w:tr>
    </w:tbl>
    <w:p w14:paraId="005E761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72FDA18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35A9CE69">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393E1AFB">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04A41BB7">
      <w:pPr>
        <w:ind w:firstLine="640" w:firstLineChars="200"/>
        <w:rPr>
          <w:rFonts w:hint="eastAsia" w:ascii="楷体_GB2312" w:hAnsi="仿宋" w:eastAsia="楷体_GB2312"/>
          <w:szCs w:val="32"/>
        </w:rPr>
      </w:pPr>
      <w:r>
        <w:rPr>
          <w:rFonts w:hint="eastAsia" w:ascii="仿宋_GB2312" w:hAnsi="仿宋"/>
          <w:szCs w:val="32"/>
          <w:lang w:val="en-US" w:eastAsia="zh-CN"/>
        </w:rPr>
        <w:t>淮北市邮政业安全中心</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1</w:t>
      </w:r>
      <w:r>
        <w:rPr>
          <w:rFonts w:hint="eastAsia" w:ascii="仿宋_GB2312" w:hAnsi="仿宋"/>
          <w:szCs w:val="32"/>
        </w:rPr>
        <w:t>万元，支出决算为</w:t>
      </w:r>
      <w:r>
        <w:rPr>
          <w:rFonts w:hint="eastAsia" w:ascii="仿宋_GB2312" w:hAnsi="仿宋"/>
          <w:szCs w:val="32"/>
          <w:lang w:val="en-US" w:eastAsia="zh-CN"/>
        </w:rPr>
        <w:t>0.56</w:t>
      </w:r>
      <w:r>
        <w:rPr>
          <w:rFonts w:hint="eastAsia" w:ascii="仿宋_GB2312" w:hAnsi="仿宋"/>
          <w:szCs w:val="32"/>
        </w:rPr>
        <w:t>万元，完成预算的</w:t>
      </w:r>
      <w:r>
        <w:rPr>
          <w:rFonts w:hint="eastAsia" w:ascii="仿宋_GB2312" w:hAnsi="仿宋"/>
          <w:szCs w:val="32"/>
          <w:lang w:val="en-US" w:eastAsia="zh-CN"/>
        </w:rPr>
        <w:t>56</w:t>
      </w:r>
      <w:r>
        <w:rPr>
          <w:rFonts w:hint="eastAsia" w:ascii="仿宋_GB2312" w:hAnsi="仿宋"/>
          <w:szCs w:val="32"/>
        </w:rPr>
        <w:t>%，</w:t>
      </w:r>
      <w:r>
        <w:rPr>
          <w:rFonts w:hint="eastAsia" w:ascii="仿宋_GB2312" w:hAnsi="仿宋"/>
          <w:szCs w:val="32"/>
          <w:lang w:eastAsia="zh-CN"/>
        </w:rPr>
        <w:t>较上年增加</w:t>
      </w:r>
      <w:r>
        <w:rPr>
          <w:rFonts w:hint="eastAsia" w:ascii="仿宋_GB2312" w:hAnsi="仿宋"/>
          <w:szCs w:val="32"/>
          <w:lang w:val="en-US" w:eastAsia="zh-CN"/>
        </w:rPr>
        <w:t>0.26</w:t>
      </w:r>
      <w:r>
        <w:rPr>
          <w:rFonts w:hint="eastAsia" w:ascii="仿宋_GB2312" w:hAnsi="仿宋"/>
          <w:szCs w:val="32"/>
        </w:rPr>
        <w:t>万元</w:t>
      </w:r>
      <w:r>
        <w:rPr>
          <w:rFonts w:hint="eastAsia" w:ascii="仿宋_GB2312" w:hAnsi="仿宋"/>
          <w:szCs w:val="32"/>
          <w:lang w:eastAsia="zh-CN"/>
        </w:rPr>
        <w:t>，增长</w:t>
      </w:r>
      <w:r>
        <w:rPr>
          <w:rFonts w:hint="eastAsia" w:ascii="仿宋_GB2312" w:hAnsi="仿宋"/>
          <w:szCs w:val="32"/>
          <w:lang w:val="en-US" w:eastAsia="zh-CN"/>
        </w:rPr>
        <w:t>86.67%。</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w:t>
      </w:r>
      <w:r>
        <w:rPr>
          <w:rFonts w:hint="eastAsia" w:ascii="仿宋_GB2312" w:hAnsi="仿宋"/>
          <w:szCs w:val="32"/>
          <w:lang w:val="en-US" w:eastAsia="zh-CN"/>
        </w:rPr>
        <w:t>严格执行厉行节约要求，严格控制三公经费支出</w:t>
      </w:r>
      <w:r>
        <w:rPr>
          <w:rFonts w:hint="eastAsia" w:ascii="仿宋_GB2312" w:hAnsi="仿宋"/>
          <w:szCs w:val="32"/>
        </w:rPr>
        <w:t>。决算数</w:t>
      </w:r>
      <w:r>
        <w:rPr>
          <w:rFonts w:hint="eastAsia" w:ascii="仿宋_GB2312" w:hAnsi="仿宋"/>
          <w:szCs w:val="32"/>
          <w:lang w:eastAsia="zh-CN"/>
        </w:rPr>
        <w:t>较上年增加</w:t>
      </w:r>
      <w:r>
        <w:rPr>
          <w:rFonts w:hint="eastAsia" w:ascii="仿宋_GB2312" w:hAnsi="仿宋"/>
          <w:szCs w:val="32"/>
        </w:rPr>
        <w:t>的主要原因是</w:t>
      </w:r>
      <w:r>
        <w:rPr>
          <w:rFonts w:hint="eastAsia" w:ascii="仿宋_GB2312" w:hAnsi="仿宋"/>
          <w:szCs w:val="32"/>
          <w:lang w:val="en-US" w:eastAsia="zh-CN"/>
        </w:rPr>
        <w:t>接待活动增多</w:t>
      </w:r>
      <w:r>
        <w:rPr>
          <w:rFonts w:hint="eastAsia" w:ascii="仿宋_GB2312" w:hAnsi="仿宋"/>
          <w:szCs w:val="32"/>
        </w:rPr>
        <w:t>。</w:t>
      </w:r>
    </w:p>
    <w:p w14:paraId="33F7203F">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5FFA214A">
      <w:pPr>
        <w:ind w:firstLine="640" w:firstLineChars="200"/>
        <w:rPr>
          <w:rFonts w:hint="eastAsia" w:ascii="仿宋_GB2312" w:hAnsi="仿宋"/>
          <w:szCs w:val="32"/>
        </w:rPr>
      </w:pPr>
      <w:r>
        <w:rPr>
          <w:rFonts w:hint="eastAsia" w:ascii="仿宋_GB2312" w:hAnsi="仿宋"/>
          <w:szCs w:val="32"/>
          <w:lang w:val="en-US" w:eastAsia="zh-CN"/>
        </w:rPr>
        <w:t>淮北市邮政业安全中心</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0.56</w:t>
      </w:r>
      <w:r>
        <w:rPr>
          <w:rFonts w:hint="eastAsia" w:ascii="仿宋_GB2312" w:hAnsi="仿宋"/>
          <w:szCs w:val="32"/>
        </w:rPr>
        <w:t>万元，占</w:t>
      </w:r>
      <w:r>
        <w:rPr>
          <w:rFonts w:hint="eastAsia" w:ascii="仿宋_GB2312" w:hAnsi="仿宋"/>
          <w:szCs w:val="32"/>
          <w:lang w:val="en-US" w:eastAsia="zh-CN"/>
        </w:rPr>
        <w:t>100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14:paraId="626FF522">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cs="Times New Roman"/>
          <w:color w:val="auto"/>
          <w:szCs w:val="32"/>
          <w:lang w:val="en-US" w:eastAsia="zh-CN"/>
        </w:rPr>
        <w:t>预算为0万元，支出决算为0万元，完成预算的100%，决算数与预算数相同；较上年减少0万元，下降0%。原因是2022年度、2023年度均未</w:t>
      </w:r>
      <w:bookmarkStart w:id="0" w:name="_GoBack"/>
      <w:bookmarkEnd w:id="0"/>
      <w:r>
        <w:rPr>
          <w:rFonts w:hint="eastAsia" w:ascii="仿宋_GB2312" w:hAnsi="仿宋" w:cs="Times New Roman"/>
          <w:color w:val="auto"/>
          <w:szCs w:val="32"/>
          <w:lang w:val="en-US" w:eastAsia="zh-CN"/>
        </w:rPr>
        <w:t>安排因公出国（境）计划。故2023年淮北市邮政业安全中心因公出国（境）团组0次，出国（境）0人次。</w:t>
      </w:r>
    </w:p>
    <w:p w14:paraId="5F9E29D7">
      <w:pPr>
        <w:ind w:firstLine="643"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1</w:t>
      </w:r>
      <w:r>
        <w:rPr>
          <w:rFonts w:hint="eastAsia" w:ascii="仿宋_GB2312" w:hAnsi="仿宋"/>
          <w:szCs w:val="32"/>
          <w:lang w:eastAsia="zh-CN"/>
        </w:rPr>
        <w:t>万元，支出决算为</w:t>
      </w:r>
      <w:r>
        <w:rPr>
          <w:rFonts w:hint="eastAsia" w:ascii="仿宋_GB2312" w:hAnsi="仿宋"/>
          <w:szCs w:val="32"/>
          <w:lang w:val="en-US" w:eastAsia="zh-CN"/>
        </w:rPr>
        <w:t>0.56万元</w:t>
      </w:r>
      <w:r>
        <w:rPr>
          <w:rFonts w:hint="eastAsia" w:ascii="仿宋_GB2312" w:hAnsi="仿宋"/>
          <w:szCs w:val="32"/>
          <w:lang w:eastAsia="zh-CN"/>
        </w:rPr>
        <w:t>，完成预算的</w:t>
      </w:r>
      <w:r>
        <w:rPr>
          <w:rFonts w:hint="eastAsia" w:ascii="仿宋_GB2312" w:hAnsi="仿宋"/>
          <w:szCs w:val="32"/>
          <w:lang w:val="en-US" w:eastAsia="zh-CN"/>
        </w:rPr>
        <w:t>56</w:t>
      </w:r>
      <w:r>
        <w:rPr>
          <w:rFonts w:hint="eastAsia" w:ascii="仿宋_GB2312" w:hAnsi="仿宋"/>
          <w:szCs w:val="32"/>
          <w:lang w:eastAsia="zh-CN"/>
        </w:rPr>
        <w:t>%；较上年增加</w:t>
      </w:r>
      <w:r>
        <w:rPr>
          <w:rFonts w:hint="eastAsia" w:ascii="仿宋_GB2312" w:hAnsi="仿宋"/>
          <w:szCs w:val="32"/>
          <w:lang w:val="en-US" w:eastAsia="zh-CN"/>
        </w:rPr>
        <w:t>0.26</w:t>
      </w:r>
      <w:r>
        <w:rPr>
          <w:rFonts w:hint="eastAsia" w:ascii="仿宋_GB2312" w:hAnsi="仿宋"/>
          <w:szCs w:val="32"/>
          <w:lang w:eastAsia="zh-CN"/>
        </w:rPr>
        <w:t>万元，增长</w:t>
      </w:r>
      <w:r>
        <w:rPr>
          <w:rFonts w:hint="eastAsia" w:ascii="仿宋_GB2312" w:hAnsi="仿宋"/>
          <w:szCs w:val="32"/>
          <w:lang w:val="en-US" w:eastAsia="zh-CN"/>
        </w:rPr>
        <w:t>86.67%。</w:t>
      </w:r>
      <w:r>
        <w:rPr>
          <w:rFonts w:hint="eastAsia" w:ascii="仿宋_GB2312" w:hAnsi="仿宋"/>
          <w:szCs w:val="32"/>
          <w:lang w:eastAsia="zh-CN"/>
        </w:rPr>
        <w:t>决算数小于预算数的主要原因是</w:t>
      </w:r>
      <w:r>
        <w:rPr>
          <w:rFonts w:hint="eastAsia" w:ascii="仿宋_GB2312" w:hAnsi="仿宋"/>
          <w:szCs w:val="32"/>
          <w:lang w:val="en-US" w:eastAsia="zh-CN"/>
        </w:rPr>
        <w:t>严格执行厉行节约要求，严格控制三公经费支出</w:t>
      </w:r>
      <w:r>
        <w:rPr>
          <w:rFonts w:hint="eastAsia" w:ascii="仿宋_GB2312" w:hAnsi="仿宋"/>
          <w:szCs w:val="32"/>
          <w:lang w:eastAsia="zh-CN"/>
        </w:rPr>
        <w:t>。</w:t>
      </w:r>
      <w:r>
        <w:rPr>
          <w:rFonts w:hint="eastAsia" w:ascii="仿宋_GB2312" w:hAnsi="仿宋"/>
          <w:szCs w:val="32"/>
        </w:rPr>
        <w:t>决算数</w:t>
      </w:r>
      <w:r>
        <w:rPr>
          <w:rFonts w:hint="eastAsia" w:ascii="仿宋_GB2312" w:hAnsi="仿宋"/>
          <w:szCs w:val="32"/>
          <w:lang w:eastAsia="zh-CN"/>
        </w:rPr>
        <w:t>较上年增加</w:t>
      </w:r>
      <w:r>
        <w:rPr>
          <w:rFonts w:hint="eastAsia" w:ascii="仿宋_GB2312" w:hAnsi="仿宋"/>
          <w:szCs w:val="32"/>
        </w:rPr>
        <w:t>的主要原因是</w:t>
      </w:r>
      <w:r>
        <w:rPr>
          <w:rFonts w:hint="eastAsia" w:ascii="仿宋_GB2312" w:hAnsi="仿宋"/>
          <w:szCs w:val="32"/>
          <w:lang w:val="en-US" w:eastAsia="zh-CN"/>
        </w:rPr>
        <w:t>接待活动增多</w:t>
      </w:r>
      <w:r>
        <w:rPr>
          <w:rFonts w:hint="eastAsia" w:ascii="仿宋_GB2312" w:hAnsi="仿宋"/>
          <w:szCs w:val="32"/>
        </w:rPr>
        <w:t>。</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年淮北市</w:t>
      </w:r>
      <w:r>
        <w:rPr>
          <w:rFonts w:hint="eastAsia" w:ascii="仿宋_GB2312" w:hAnsi="仿宋"/>
          <w:szCs w:val="32"/>
          <w:lang w:val="en-US" w:eastAsia="zh-CN"/>
        </w:rPr>
        <w:t>邮政业安全中心</w:t>
      </w:r>
      <w:r>
        <w:rPr>
          <w:rFonts w:hint="eastAsia" w:ascii="仿宋_GB2312" w:hAnsi="仿宋"/>
          <w:szCs w:val="32"/>
        </w:rPr>
        <w:t>国内公务接待共</w:t>
      </w:r>
      <w:r>
        <w:rPr>
          <w:rFonts w:hint="eastAsia" w:ascii="仿宋_GB2312" w:hAnsi="仿宋"/>
          <w:szCs w:val="32"/>
          <w:lang w:val="en-US" w:eastAsia="zh-CN"/>
        </w:rPr>
        <w:t>4</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36</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人次）。主要是用于</w:t>
      </w:r>
      <w:r>
        <w:rPr>
          <w:rFonts w:hint="eastAsia" w:ascii="仿宋_GB2312" w:hAnsi="仿宋"/>
          <w:szCs w:val="32"/>
          <w:lang w:val="en-US" w:eastAsia="zh-CN"/>
        </w:rPr>
        <w:t>接待项目相关人员</w:t>
      </w:r>
      <w:r>
        <w:rPr>
          <w:rFonts w:hint="eastAsia" w:ascii="仿宋_GB2312" w:hAnsi="仿宋"/>
          <w:szCs w:val="32"/>
        </w:rPr>
        <w:t>。经费使用贯彻中央八项规定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5468E428">
      <w:pPr>
        <w:ind w:firstLine="643" w:firstLineChars="200"/>
        <w:rPr>
          <w:rFonts w:hint="eastAsia" w:ascii="仿宋_GB2312" w:eastAsia="仿宋_GB2312"/>
          <w:sz w:val="32"/>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w:t>
      </w:r>
      <w:r>
        <w:rPr>
          <w:rFonts w:hint="eastAsia" w:ascii="仿宋_GB2312" w:hAnsi="仿宋"/>
          <w:szCs w:val="32"/>
          <w:lang w:val="en-US" w:eastAsia="zh-CN"/>
        </w:rPr>
        <w:t>与</w:t>
      </w:r>
      <w:r>
        <w:rPr>
          <w:rFonts w:hint="eastAsia" w:ascii="仿宋_GB2312" w:hAnsi="仿宋"/>
          <w:szCs w:val="32"/>
          <w:lang w:eastAsia="zh-CN"/>
        </w:rPr>
        <w:t>上年</w:t>
      </w:r>
      <w:r>
        <w:rPr>
          <w:rFonts w:hint="eastAsia" w:ascii="仿宋_GB2312" w:hAnsi="仿宋"/>
          <w:szCs w:val="32"/>
          <w:lang w:val="en-US" w:eastAsia="zh-CN"/>
        </w:rPr>
        <w:t>相比不变</w:t>
      </w:r>
      <w:r>
        <w:rPr>
          <w:rFonts w:hint="eastAsia" w:ascii="仿宋_GB2312" w:hAnsi="仿宋"/>
          <w:szCs w:val="32"/>
          <w:lang w:eastAsia="zh-CN"/>
        </w:rPr>
        <w:t>。</w:t>
      </w:r>
      <w:r>
        <w:rPr>
          <w:rFonts w:hint="eastAsia" w:ascii="仿宋_GB2312" w:hAnsi="仿宋"/>
          <w:szCs w:val="32"/>
        </w:rPr>
        <w:t>其中，公务用车购</w:t>
      </w:r>
      <w:r>
        <w:rPr>
          <w:rFonts w:hint="eastAsia" w:ascii="仿宋_GB2312" w:hAnsi="仿宋"/>
          <w:szCs w:val="32"/>
          <w:lang w:eastAsia="zh-CN"/>
        </w:rPr>
        <w:t>置费预算为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w:t>
      </w:r>
      <w:r>
        <w:rPr>
          <w:rFonts w:hint="eastAsia" w:ascii="仿宋_GB2312" w:hAnsi="仿宋"/>
          <w:szCs w:val="32"/>
          <w:lang w:val="en-US" w:eastAsia="zh-CN"/>
        </w:rPr>
        <w:t>与</w:t>
      </w:r>
      <w:r>
        <w:rPr>
          <w:rFonts w:hint="eastAsia" w:ascii="仿宋_GB2312" w:hAnsi="仿宋"/>
          <w:szCs w:val="32"/>
          <w:lang w:eastAsia="zh-CN"/>
        </w:rPr>
        <w:t>上年</w:t>
      </w:r>
      <w:r>
        <w:rPr>
          <w:rFonts w:hint="eastAsia" w:ascii="仿宋_GB2312" w:hAnsi="仿宋"/>
          <w:szCs w:val="32"/>
          <w:lang w:val="en-US" w:eastAsia="zh-CN"/>
        </w:rPr>
        <w:t>相比不变。</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cs="Times New Roman"/>
          <w:szCs w:val="32"/>
          <w:lang w:eastAsia="zh-CN"/>
        </w:rPr>
        <w:t>年没有安排公务用车购置费。</w:t>
      </w:r>
      <w:r>
        <w:rPr>
          <w:rFonts w:hint="eastAsia" w:ascii="仿宋_GB2312" w:hAnsi="仿宋"/>
          <w:szCs w:val="32"/>
        </w:rPr>
        <w:t>公务用车运行维护费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w:t>
      </w:r>
      <w:r>
        <w:rPr>
          <w:rFonts w:hint="eastAsia" w:ascii="仿宋_GB2312" w:hAnsi="仿宋"/>
          <w:szCs w:val="32"/>
          <w:lang w:val="en-US" w:eastAsia="zh-CN"/>
        </w:rPr>
        <w:t>与</w:t>
      </w:r>
      <w:r>
        <w:rPr>
          <w:rFonts w:hint="eastAsia" w:ascii="仿宋_GB2312" w:hAnsi="仿宋"/>
          <w:szCs w:val="32"/>
          <w:lang w:eastAsia="zh-CN"/>
        </w:rPr>
        <w:t>上年</w:t>
      </w:r>
      <w:r>
        <w:rPr>
          <w:rFonts w:hint="eastAsia" w:ascii="仿宋_GB2312" w:hAnsi="仿宋"/>
          <w:szCs w:val="32"/>
          <w:lang w:val="en-US" w:eastAsia="zh-CN"/>
        </w:rPr>
        <w:t>相比不变</w:t>
      </w:r>
      <w:r>
        <w:rPr>
          <w:rFonts w:hint="eastAsia" w:ascii="仿宋_GB2312" w:hAnsi="仿宋"/>
          <w:szCs w:val="32"/>
          <w:lang w:eastAsia="zh-CN"/>
        </w:rPr>
        <w:t>。</w:t>
      </w:r>
      <w:r>
        <w:rPr>
          <w:rFonts w:hint="eastAsia" w:ascii="仿宋_GB2312" w:hAnsi="仿宋"/>
          <w:szCs w:val="32"/>
        </w:rPr>
        <w:t>截至</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年12月31日，淮北市</w:t>
      </w:r>
      <w:r>
        <w:rPr>
          <w:rFonts w:hint="eastAsia" w:ascii="仿宋_GB2312" w:hAnsi="仿宋"/>
          <w:szCs w:val="32"/>
          <w:lang w:val="en-US" w:eastAsia="zh-CN"/>
        </w:rPr>
        <w:t>邮政业安全中心</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14:paraId="71C5BF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TJjOGI1Yjg0ODk0OWQ3NTIzMzExZmNjYzIwMWYifQ=="/>
  </w:docVars>
  <w:rsids>
    <w:rsidRoot w:val="00000000"/>
    <w:rsid w:val="00B8508F"/>
    <w:rsid w:val="1AC936B9"/>
    <w:rsid w:val="30E7584E"/>
    <w:rsid w:val="344D4C35"/>
    <w:rsid w:val="3FA22BE0"/>
    <w:rsid w:val="403703F1"/>
    <w:rsid w:val="573C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1122</Words>
  <Characters>1215</Characters>
  <Lines>0</Lines>
  <Paragraphs>0</Paragraphs>
  <TotalTime>2</TotalTime>
  <ScaleCrop>false</ScaleCrop>
  <LinksUpToDate>false</LinksUpToDate>
  <CharactersWithSpaces>1281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2024-09-24T05:04:00Z</dcterms:created>
  <dc:creator>Administrator</dc:creator>
  <cp:lastModifiedBy>April</cp:lastModifiedBy>
  <dcterms:modified xsi:type="dcterms:W3CDTF">2024-09-24T06:23:10Z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A36B233AC7F242478B3A2EE29AFEBF44_12</vt:lpwstr>
  </property>
</Properties>
</file>