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b w:val="0"/>
          <w:bCs w:val="0"/>
          <w:sz w:val="44"/>
          <w:szCs w:val="44"/>
          <w:u w:val="none"/>
        </w:rPr>
      </w:pPr>
      <w:bookmarkStart w:id="0" w:name="_GoBack"/>
      <w:bookmarkEnd w:id="0"/>
      <w:r>
        <w:rPr>
          <w:rFonts w:hint="eastAsia" w:ascii="方正小标宋简体" w:hAnsi="方正小标宋简体" w:eastAsia="方正小标宋简体" w:cs="方正小标宋简体"/>
          <w:b w:val="0"/>
          <w:bCs w:val="0"/>
          <w:sz w:val="44"/>
          <w:szCs w:val="44"/>
          <w:u w:val="none"/>
          <w:lang w:val="en-US" w:eastAsia="zh-CN"/>
        </w:rPr>
        <w:t>淮北市</w:t>
      </w:r>
      <w:r>
        <w:rPr>
          <w:rFonts w:hint="eastAsia" w:ascii="方正小标宋简体" w:hAnsi="方正小标宋简体" w:eastAsia="方正小标宋简体" w:cs="方正小标宋简体"/>
          <w:b w:val="0"/>
          <w:bCs w:val="0"/>
          <w:sz w:val="44"/>
          <w:szCs w:val="44"/>
          <w:u w:val="none"/>
        </w:rPr>
        <w:t>关于规范互联网租赁自行车发展的</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实施意见</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楷体_GB2312" w:hAnsi="楷体_GB2312" w:eastAsia="楷体_GB2312" w:cs="楷体_GB2312"/>
          <w:b/>
          <w:bCs/>
          <w:sz w:val="32"/>
          <w:szCs w:val="32"/>
          <w:u w:val="none"/>
        </w:rPr>
      </w:pPr>
      <w:r>
        <w:rPr>
          <w:rFonts w:hint="eastAsia" w:ascii="楷体_GB2312" w:hAnsi="楷体_GB2312" w:eastAsia="楷体_GB2312" w:cs="楷体_GB2312"/>
          <w:sz w:val="32"/>
          <w:szCs w:val="32"/>
          <w:u w:val="none"/>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b w:val="0"/>
          <w:bCs w:val="0"/>
          <w:sz w:val="32"/>
          <w:szCs w:val="32"/>
          <w:u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rightChars="0" w:firstLine="640" w:firstLineChars="200"/>
        <w:textAlignment w:val="auto"/>
        <w:outlineLvl w:val="9"/>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为促进本市互联网租赁自行车规范有序发展，倡导绿色、低碳出行，打造安全、便捷、高效的城市慢行交通体系，</w:t>
      </w:r>
      <w:r>
        <w:rPr>
          <w:rFonts w:hint="eastAsia" w:ascii="仿宋" w:hAnsi="仿宋" w:eastAsia="仿宋" w:cs="仿宋"/>
          <w:sz w:val="32"/>
          <w:szCs w:val="32"/>
          <w:u w:val="none"/>
          <w:lang w:val="en-US" w:eastAsia="zh-CN"/>
        </w:rPr>
        <w:t>根据</w:t>
      </w:r>
      <w:r>
        <w:rPr>
          <w:rFonts w:hint="eastAsia" w:ascii="仿宋" w:hAnsi="仿宋" w:eastAsia="仿宋" w:cs="仿宋"/>
          <w:sz w:val="32"/>
          <w:szCs w:val="32"/>
          <w:u w:val="none"/>
        </w:rPr>
        <w:t>交通运输部等10部</w:t>
      </w:r>
      <w:r>
        <w:rPr>
          <w:rFonts w:hint="eastAsia" w:ascii="仿宋" w:hAnsi="仿宋" w:eastAsia="仿宋" w:cs="仿宋"/>
          <w:sz w:val="32"/>
          <w:szCs w:val="32"/>
          <w:u w:val="none"/>
          <w:lang w:val="en-US" w:eastAsia="zh-CN"/>
        </w:rPr>
        <w:t>委</w:t>
      </w:r>
      <w:r>
        <w:rPr>
          <w:rFonts w:hint="eastAsia" w:ascii="仿宋" w:hAnsi="仿宋" w:eastAsia="仿宋" w:cs="仿宋"/>
          <w:sz w:val="32"/>
          <w:szCs w:val="32"/>
          <w:u w:val="none"/>
        </w:rPr>
        <w:t>《关于鼓励和规范互联网租赁自行车发展的指导意见》(交运发〔2017〕109号)</w:t>
      </w:r>
      <w:r>
        <w:rPr>
          <w:rFonts w:hint="eastAsia" w:ascii="仿宋" w:hAnsi="仿宋" w:eastAsia="仿宋" w:cs="仿宋"/>
          <w:sz w:val="32"/>
          <w:szCs w:val="32"/>
          <w:u w:val="none"/>
          <w:lang w:val="en-US" w:eastAsia="zh-CN"/>
        </w:rPr>
        <w:t>等文件规定</w:t>
      </w:r>
      <w:r>
        <w:rPr>
          <w:rFonts w:hint="eastAsia" w:ascii="仿宋" w:hAnsi="仿宋" w:eastAsia="仿宋" w:cs="仿宋"/>
          <w:sz w:val="32"/>
          <w:szCs w:val="32"/>
          <w:u w:val="none"/>
        </w:rPr>
        <w:t>，结合我市实际，提出以下</w:t>
      </w:r>
      <w:r>
        <w:rPr>
          <w:rFonts w:hint="eastAsia" w:ascii="仿宋" w:hAnsi="仿宋" w:eastAsia="仿宋" w:cs="仿宋"/>
          <w:sz w:val="32"/>
          <w:szCs w:val="32"/>
          <w:u w:val="none"/>
          <w:lang w:val="en-US" w:eastAsia="zh-CN"/>
        </w:rPr>
        <w:t>实施意见</w:t>
      </w:r>
      <w:r>
        <w:rPr>
          <w:rFonts w:hint="eastAsia" w:ascii="仿宋" w:hAnsi="仿宋" w:eastAsia="仿宋" w:cs="仿宋"/>
          <w:sz w:val="32"/>
          <w:szCs w:val="32"/>
          <w:u w:val="none"/>
        </w:rPr>
        <w:t>。</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right="0" w:rightChars="0" w:firstLine="640" w:firstLineChars="200"/>
        <w:textAlignment w:val="auto"/>
        <w:outlineLvl w:val="9"/>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总体要求</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0" w:right="0" w:rightChars="0" w:firstLine="640"/>
        <w:textAlignment w:val="auto"/>
        <w:outlineLvl w:val="9"/>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发展思路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right="0" w:rightChars="0" w:firstLine="640"/>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rPr>
        <w:t>坚持创新、协调、绿色、开放、共享的发展理念，以满足市民短距离出行和公共交通系统换乘接驳需求为导向，优化交通出行结构，构建绿色低碳的出行体系；以市场配置资源、政府监管为手段，落实互联网租赁自行车</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含电动自行车</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经营企业（以下简称“经营企业”）主体责任，规范承租人骑行行为，维护城市环境，引导互联网租赁自行车规范有序发展。 </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0" w:right="0" w:rightChars="0" w:firstLine="640" w:firstLineChars="0"/>
        <w:textAlignment w:val="auto"/>
        <w:outlineLvl w:val="9"/>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功能定位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right="0" w:rightChars="0"/>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互联网租赁自行车是以互联网技术为依托，由运营企业投放的分时租赁营运非机动车，是方便公众短距离出行和对接公共交通的交通服务方式。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right="0" w:rightChars="0"/>
        <w:textAlignment w:val="auto"/>
        <w:outlineLvl w:val="9"/>
        <w:rPr>
          <w:rFonts w:hint="eastAsia" w:ascii="华文仿宋" w:hAnsi="华文仿宋" w:eastAsia="华文仿宋" w:cs="华文仿宋"/>
          <w:sz w:val="32"/>
          <w:szCs w:val="32"/>
          <w:u w:val="none"/>
        </w:rPr>
      </w:pPr>
      <w:r>
        <w:rPr>
          <w:rFonts w:hint="eastAsia" w:ascii="华文仿宋" w:hAnsi="华文仿宋" w:eastAsia="华文仿宋" w:cs="华文仿宋"/>
          <w:sz w:val="32"/>
          <w:szCs w:val="32"/>
          <w:u w:val="none"/>
          <w:lang w:val="en-US" w:eastAsia="zh-CN"/>
        </w:rPr>
        <w:t xml:space="preserve">    </w:t>
      </w:r>
      <w:r>
        <w:rPr>
          <w:rFonts w:hint="eastAsia" w:ascii="楷体_GB2312" w:hAnsi="楷体_GB2312" w:eastAsia="楷体_GB2312" w:cs="楷体_GB2312"/>
          <w:sz w:val="32"/>
          <w:szCs w:val="32"/>
          <w:u w:val="none"/>
          <w:lang w:val="en-US" w:eastAsia="zh-CN"/>
        </w:rPr>
        <w:t>（三）</w:t>
      </w:r>
      <w:r>
        <w:rPr>
          <w:rFonts w:hint="eastAsia" w:ascii="楷体_GB2312" w:hAnsi="楷体_GB2312" w:eastAsia="楷体_GB2312" w:cs="楷体_GB2312"/>
          <w:sz w:val="32"/>
          <w:szCs w:val="32"/>
          <w:u w:val="none"/>
        </w:rPr>
        <w:t>基本原则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rightChars="0" w:firstLine="640" w:firstLineChars="200"/>
        <w:textAlignment w:val="auto"/>
        <w:outlineLvl w:val="9"/>
        <w:rPr>
          <w:rFonts w:hint="eastAsia" w:ascii="华文仿宋" w:hAnsi="华文仿宋" w:eastAsia="华文仿宋" w:cs="华文仿宋"/>
          <w:sz w:val="32"/>
          <w:szCs w:val="32"/>
          <w:u w:val="none"/>
        </w:rPr>
      </w:pPr>
      <w:r>
        <w:rPr>
          <w:rFonts w:hint="eastAsia" w:ascii="华文仿宋" w:hAnsi="华文仿宋" w:eastAsia="华文仿宋" w:cs="华文仿宋"/>
          <w:sz w:val="32"/>
          <w:szCs w:val="32"/>
          <w:u w:val="none"/>
          <w:lang w:val="en-US" w:eastAsia="zh-CN"/>
        </w:rPr>
        <w:t>1.积极引导。以方便市民出行为根本出发点，通过经营企业依法规范经营、承租人依法使用和文明骑行，构建安全、便捷、舒适的互联网租赁自行车出行服务系统。 </w:t>
      </w:r>
      <w:r>
        <w:rPr>
          <w:rFonts w:hint="eastAsia" w:ascii="华文仿宋" w:hAnsi="华文仿宋" w:eastAsia="华文仿宋" w:cs="华文仿宋"/>
          <w:sz w:val="32"/>
          <w:szCs w:val="32"/>
          <w:u w:val="none"/>
          <w:lang w:val="en-US" w:eastAsia="zh-CN"/>
        </w:rPr>
        <w:br w:type="textWrapping"/>
      </w:r>
      <w:r>
        <w:rPr>
          <w:rFonts w:hint="eastAsia" w:ascii="华文仿宋" w:hAnsi="华文仿宋" w:eastAsia="华文仿宋" w:cs="华文仿宋"/>
          <w:sz w:val="32"/>
          <w:szCs w:val="32"/>
          <w:u w:val="none"/>
          <w:lang w:val="en-US" w:eastAsia="zh-CN"/>
        </w:rPr>
        <w:t xml:space="preserve">    2.规范有序。坚持问题导向，实施包容审慎监管，形成规范互联网租赁自行车的发展环境。落实经营企业主体责任，强化车辆投入、运行调度和停放秩序管理。 </w:t>
      </w:r>
      <w:r>
        <w:rPr>
          <w:rFonts w:hint="eastAsia" w:ascii="华文仿宋" w:hAnsi="华文仿宋" w:eastAsia="华文仿宋" w:cs="华文仿宋"/>
          <w:sz w:val="32"/>
          <w:szCs w:val="32"/>
          <w:u w:val="none"/>
          <w:lang w:val="en-US" w:eastAsia="zh-CN"/>
        </w:rPr>
        <w:br w:type="textWrapping"/>
      </w:r>
      <w:r>
        <w:rPr>
          <w:rFonts w:hint="eastAsia" w:ascii="华文仿宋" w:hAnsi="华文仿宋" w:eastAsia="华文仿宋" w:cs="华文仿宋"/>
          <w:sz w:val="32"/>
          <w:szCs w:val="32"/>
          <w:u w:val="none"/>
          <w:lang w:val="en-US" w:eastAsia="zh-CN"/>
        </w:rPr>
        <w:t xml:space="preserve">    3.强化安全。确保车辆安全性能状况良好，建立健全骑行保险理赔机制，强化网络信息安全监管，加强用户资金风险管控。 </w:t>
      </w:r>
      <w:r>
        <w:rPr>
          <w:rFonts w:hint="eastAsia" w:ascii="华文仿宋" w:hAnsi="华文仿宋" w:eastAsia="华文仿宋" w:cs="华文仿宋"/>
          <w:sz w:val="32"/>
          <w:szCs w:val="32"/>
          <w:u w:val="none"/>
          <w:lang w:val="en-US" w:eastAsia="zh-CN"/>
        </w:rPr>
        <w:br w:type="textWrapping"/>
      </w:r>
      <w:r>
        <w:rPr>
          <w:rFonts w:hint="eastAsia" w:ascii="华文仿宋" w:hAnsi="华文仿宋" w:eastAsia="华文仿宋" w:cs="华文仿宋"/>
          <w:sz w:val="32"/>
          <w:szCs w:val="32"/>
          <w:u w:val="none"/>
          <w:lang w:val="en-US" w:eastAsia="zh-CN"/>
        </w:rPr>
        <w:t xml:space="preserve">    4.属地管理。压实政府监督主体责任，加强统筹协调，强化监管服务，依法规范引导，</w:t>
      </w:r>
      <w:r>
        <w:rPr>
          <w:rFonts w:hint="eastAsia" w:ascii="华文仿宋" w:hAnsi="华文仿宋" w:eastAsia="华文仿宋" w:cs="华文仿宋"/>
          <w:sz w:val="32"/>
          <w:szCs w:val="32"/>
          <w:u w:val="none"/>
        </w:rPr>
        <w:t>形成政府、企业、社会组织和公众共同治理的局面。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 xml:space="preserve">    </w:t>
      </w:r>
      <w:r>
        <w:rPr>
          <w:rFonts w:hint="eastAsia" w:ascii="黑体" w:hAnsi="黑体" w:eastAsia="黑体" w:cs="黑体"/>
          <w:sz w:val="32"/>
          <w:szCs w:val="32"/>
          <w:u w:val="none"/>
          <w:lang w:val="en-US" w:eastAsia="zh-CN"/>
        </w:rPr>
        <w:t>二、</w:t>
      </w:r>
      <w:r>
        <w:rPr>
          <w:rFonts w:hint="eastAsia" w:ascii="黑体" w:hAnsi="黑体" w:eastAsia="黑体" w:cs="黑体"/>
          <w:sz w:val="32"/>
          <w:szCs w:val="32"/>
          <w:u w:val="none"/>
        </w:rPr>
        <w:t>规范企业经营 </w:t>
      </w:r>
    </w:p>
    <w:p>
      <w:pPr>
        <w:pStyle w:val="2"/>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64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rPr>
        <w:t>规范企业经营条件。在本市从事互联网租赁自行车经营服务的企业，应具备线上线下服务能力</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经营企业</w:t>
      </w:r>
      <w:r>
        <w:rPr>
          <w:rFonts w:hint="eastAsia" w:ascii="仿宋" w:hAnsi="仿宋" w:eastAsia="仿宋" w:cs="仿宋"/>
          <w:sz w:val="32"/>
          <w:szCs w:val="32"/>
          <w:u w:val="none"/>
        </w:rPr>
        <w:t>运营前1个月须向</w:t>
      </w:r>
      <w:r>
        <w:rPr>
          <w:rFonts w:hint="eastAsia" w:ascii="仿宋" w:hAnsi="仿宋" w:eastAsia="仿宋" w:cs="仿宋"/>
          <w:sz w:val="32"/>
          <w:szCs w:val="32"/>
          <w:u w:val="none"/>
          <w:lang w:val="en-US" w:eastAsia="zh-CN"/>
        </w:rPr>
        <w:t>城市管理</w:t>
      </w:r>
      <w:r>
        <w:rPr>
          <w:rFonts w:hint="eastAsia" w:ascii="仿宋" w:hAnsi="仿宋" w:eastAsia="仿宋" w:cs="仿宋"/>
          <w:sz w:val="32"/>
          <w:szCs w:val="32"/>
          <w:u w:val="none"/>
        </w:rPr>
        <w:t>部门提交运营</w:t>
      </w:r>
      <w:r>
        <w:rPr>
          <w:rFonts w:hint="eastAsia" w:ascii="仿宋" w:hAnsi="仿宋" w:eastAsia="仿宋" w:cs="仿宋"/>
          <w:sz w:val="32"/>
          <w:szCs w:val="32"/>
          <w:u w:val="none"/>
          <w:lang w:val="en-US" w:eastAsia="zh-CN"/>
        </w:rPr>
        <w:t>申请</w:t>
      </w:r>
      <w:r>
        <w:rPr>
          <w:rFonts w:hint="eastAsia" w:ascii="仿宋" w:hAnsi="仿宋" w:eastAsia="仿宋" w:cs="仿宋"/>
          <w:sz w:val="32"/>
          <w:szCs w:val="32"/>
          <w:u w:val="none"/>
        </w:rPr>
        <w:t>材料。</w:t>
      </w:r>
      <w:r>
        <w:rPr>
          <w:rFonts w:hint="eastAsia" w:ascii="仿宋" w:hAnsi="仿宋" w:eastAsia="仿宋" w:cs="仿宋"/>
          <w:sz w:val="32"/>
          <w:szCs w:val="32"/>
          <w:u w:val="none"/>
          <w:lang w:val="en-US" w:eastAsia="zh-CN"/>
        </w:rPr>
        <w:t>运营申请材料如下：</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1.企业法人营业执照，属于分支机构的还应当提交分支机构营业执照，外商投资企业还应当提供外商投资企业批准证书。</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2.电信管理机构颁发的《互联网信息服务增值电信业务经营许可证》。</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3.服务所在地办公场所、维修场地等有关使用证明。</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4.本市服务机构的负责人身份证明及复印件和联系方式。</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5.车辆投放规模和方案。</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6.自行车产品质量检测合格报告。</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7.与用户的电子协议样本。</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64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8.开展互联网租赁自行车经营服务的运营模式说明，服务管理、投诉和有关纠纷处理方式等制度文本。</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（二）规范市场准入。按照公平、公开、竞争、择优的原则，对申请的企业进行综合评审，选取2-3家企业在我市经营互联网租赁自行车业务。</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三</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规范车辆投放要求。互联网租赁自行车应当符合国家和行业技术标准要求，充分利用车辆卫星定位、大数据等信息技术加强对所属车辆的经营管理。鼓励使用国产卫星导航系统和智能通讯控制模块的智能锁。</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互联网租赁电动自行车应按照公安机关交通管理部门规定登记上牌。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640"/>
        <w:jc w:val="both"/>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四</w:t>
      </w:r>
      <w:r>
        <w:rPr>
          <w:rFonts w:hint="eastAsia" w:ascii="仿宋" w:hAnsi="仿宋" w:eastAsia="仿宋" w:cs="仿宋"/>
          <w:sz w:val="32"/>
          <w:szCs w:val="32"/>
          <w:u w:val="none"/>
        </w:rPr>
        <w:t>）规范企业经营管理。企业应当依法履行企业主体责任和相应社会责任，保障承租人和社会公众合法权益，并遵守以下经营服务要求：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640"/>
        <w:jc w:val="both"/>
        <w:textAlignment w:val="auto"/>
        <w:outlineLvl w:val="9"/>
        <w:rPr>
          <w:rFonts w:hint="eastAsia" w:ascii="仿宋" w:hAnsi="仿宋" w:eastAsia="仿宋" w:cs="仿宋"/>
          <w:sz w:val="32"/>
          <w:szCs w:val="32"/>
          <w:u w:val="none"/>
          <w:lang w:eastAsia="zh-CN"/>
        </w:rPr>
      </w:pPr>
      <w:r>
        <w:rPr>
          <w:rFonts w:hint="eastAsia" w:ascii="仿宋" w:hAnsi="仿宋" w:eastAsia="仿宋" w:cs="仿宋"/>
          <w:sz w:val="32"/>
          <w:szCs w:val="32"/>
          <w:u w:val="none"/>
          <w:lang w:val="en-US"/>
        </w:rPr>
        <w:t>1.</w:t>
      </w:r>
      <w:r>
        <w:rPr>
          <w:rFonts w:hint="eastAsia" w:ascii="仿宋" w:hAnsi="仿宋" w:eastAsia="仿宋" w:cs="仿宋"/>
          <w:sz w:val="32"/>
          <w:szCs w:val="32"/>
          <w:u w:val="none"/>
        </w:rPr>
        <w:t>对承租人进行实名制注册登记，并与承租人签订服务协议，明确双方权利义务，禁止向未满</w:t>
      </w:r>
      <w:r>
        <w:rPr>
          <w:rFonts w:hint="eastAsia" w:ascii="仿宋" w:hAnsi="仿宋" w:eastAsia="仿宋" w:cs="仿宋"/>
          <w:sz w:val="32"/>
          <w:szCs w:val="32"/>
          <w:u w:val="none"/>
          <w:lang w:val="en-US"/>
        </w:rPr>
        <w:t>12</w:t>
      </w:r>
      <w:r>
        <w:rPr>
          <w:rFonts w:hint="eastAsia" w:ascii="仿宋" w:hAnsi="仿宋" w:eastAsia="仿宋" w:cs="仿宋"/>
          <w:sz w:val="32"/>
          <w:szCs w:val="32"/>
          <w:u w:val="none"/>
        </w:rPr>
        <w:t>周岁的未成年人提供服务</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禁止向未满16周岁的未成年人提供互联网租赁电动自行车服务</w:t>
      </w:r>
      <w:r>
        <w:rPr>
          <w:rFonts w:hint="eastAsia" w:ascii="仿宋" w:hAnsi="仿宋" w:eastAsia="仿宋" w:cs="仿宋"/>
          <w:sz w:val="32"/>
          <w:szCs w:val="32"/>
          <w:u w:val="none"/>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640"/>
        <w:jc w:val="both"/>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lang w:val="en-US"/>
        </w:rPr>
        <w:t>2.</w:t>
      </w:r>
      <w:r>
        <w:rPr>
          <w:rFonts w:hint="eastAsia" w:ascii="仿宋" w:hAnsi="仿宋" w:eastAsia="仿宋" w:cs="仿宋"/>
          <w:sz w:val="32"/>
          <w:szCs w:val="32"/>
          <w:u w:val="none"/>
        </w:rPr>
        <w:t>公布符合国家有关规定的计费方式和收费标准，做到守法经营、公平竞争；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640"/>
        <w:jc w:val="both"/>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lang w:val="en-US"/>
        </w:rPr>
        <w:t>3.</w:t>
      </w:r>
      <w:r>
        <w:rPr>
          <w:rFonts w:hint="eastAsia" w:ascii="仿宋" w:hAnsi="仿宋" w:eastAsia="仿宋" w:cs="仿宋"/>
          <w:sz w:val="32"/>
          <w:szCs w:val="32"/>
          <w:u w:val="none"/>
        </w:rPr>
        <w:t>组建与车辆投放规模相适应的运营维护队伍，做好车辆维护和停放秩序管理工作，及时清理违规停放、存在安全隐患、不能提供服务的车辆；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none"/>
          <w:lang w:val="en-US"/>
        </w:rPr>
        <w:t>4.</w:t>
      </w:r>
      <w:r>
        <w:rPr>
          <w:rFonts w:hint="eastAsia" w:ascii="仿宋" w:hAnsi="仿宋" w:eastAsia="仿宋" w:cs="仿宋"/>
          <w:sz w:val="32"/>
          <w:szCs w:val="32"/>
          <w:u w:val="none"/>
        </w:rPr>
        <w:t>加强车辆日常维护和调度管理，及时对车辆进行检查并做好清洁保养，确保车况良好、车貌整洁，排除安全隐患；</w:t>
      </w:r>
      <w:r>
        <w:rPr>
          <w:rFonts w:hint="eastAsia" w:ascii="仿宋" w:hAnsi="仿宋" w:eastAsia="仿宋" w:cs="仿宋"/>
          <w:sz w:val="32"/>
          <w:szCs w:val="32"/>
          <w:u w:val="none"/>
          <w:lang w:val="en-US"/>
        </w:rPr>
        <w:t xml:space="preserve">  </w:t>
      </w:r>
      <w:r>
        <w:rPr>
          <w:rFonts w:hint="eastAsia" w:ascii="仿宋" w:hAnsi="仿宋" w:eastAsia="仿宋" w:cs="仿宋"/>
          <w:sz w:val="32"/>
          <w:szCs w:val="32"/>
          <w:u w:val="none"/>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rPr>
        <w:t>　　</w:t>
      </w:r>
      <w:r>
        <w:rPr>
          <w:rFonts w:hint="eastAsia" w:ascii="仿宋" w:hAnsi="仿宋" w:eastAsia="仿宋" w:cs="仿宋"/>
          <w:sz w:val="32"/>
          <w:szCs w:val="32"/>
          <w:u w:val="none"/>
          <w:lang w:val="en-US"/>
        </w:rPr>
        <w:t>5.</w:t>
      </w:r>
      <w:r>
        <w:rPr>
          <w:rFonts w:hint="eastAsia" w:ascii="仿宋" w:hAnsi="仿宋" w:eastAsia="仿宋" w:cs="仿宋"/>
          <w:sz w:val="32"/>
          <w:szCs w:val="32"/>
          <w:u w:val="none"/>
        </w:rPr>
        <w:t>公布服务质量承诺，公开服务监督电话，建立投诉处理制度，及时处理投诉；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rPr>
        <w:t>　　</w:t>
      </w:r>
      <w:r>
        <w:rPr>
          <w:rFonts w:hint="eastAsia" w:ascii="仿宋" w:hAnsi="仿宋" w:eastAsia="仿宋" w:cs="仿宋"/>
          <w:sz w:val="32"/>
          <w:szCs w:val="32"/>
          <w:u w:val="none"/>
          <w:lang w:val="en-US"/>
        </w:rPr>
        <w:t>6.</w:t>
      </w:r>
      <w:r>
        <w:rPr>
          <w:rFonts w:hint="eastAsia" w:ascii="仿宋" w:hAnsi="仿宋" w:eastAsia="仿宋" w:cs="仿宋"/>
          <w:sz w:val="32"/>
          <w:szCs w:val="32"/>
          <w:u w:val="none"/>
        </w:rPr>
        <w:t>建立健全承租人信用管理制度，鼓励企业组成信用信息共享联盟，并与市信用办及市公共信用信息平台对接，对承租人建立守信激励和失信惩戒机制；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rPr>
        <w:t>　　</w:t>
      </w:r>
      <w:r>
        <w:rPr>
          <w:rFonts w:hint="eastAsia" w:ascii="仿宋" w:hAnsi="仿宋" w:eastAsia="仿宋" w:cs="仿宋"/>
          <w:sz w:val="32"/>
          <w:szCs w:val="32"/>
          <w:u w:val="none"/>
          <w:lang w:val="en-US"/>
        </w:rPr>
        <w:t>7.</w:t>
      </w:r>
      <w:r>
        <w:rPr>
          <w:rFonts w:hint="eastAsia" w:ascii="仿宋" w:hAnsi="仿宋" w:eastAsia="仿宋" w:cs="仿宋"/>
          <w:sz w:val="32"/>
          <w:szCs w:val="32"/>
          <w:u w:val="none"/>
          <w:lang w:val="en-US" w:eastAsia="zh-CN"/>
        </w:rPr>
        <w:t>须</w:t>
      </w:r>
      <w:r>
        <w:rPr>
          <w:rFonts w:hint="eastAsia" w:ascii="仿宋" w:hAnsi="仿宋" w:eastAsia="仿宋" w:cs="仿宋"/>
          <w:sz w:val="32"/>
          <w:szCs w:val="32"/>
          <w:u w:val="none"/>
        </w:rPr>
        <w:t>向政府监管平台及市公共信用信息平台提供数据接入，全面提供车辆编号、运维人员、信用记录不良的用户名单等数据，实时更新车辆分布、车辆轨迹、使用频率等动态信息。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rPr>
        <w:t>　　（</w:t>
      </w:r>
      <w:r>
        <w:rPr>
          <w:rFonts w:hint="eastAsia" w:ascii="仿宋" w:hAnsi="仿宋" w:eastAsia="仿宋" w:cs="仿宋"/>
          <w:sz w:val="32"/>
          <w:szCs w:val="32"/>
          <w:u w:val="none"/>
          <w:lang w:val="en-US" w:eastAsia="zh-CN"/>
        </w:rPr>
        <w:t>五</w:t>
      </w:r>
      <w:r>
        <w:rPr>
          <w:rFonts w:hint="eastAsia" w:ascii="仿宋" w:hAnsi="仿宋" w:eastAsia="仿宋" w:cs="仿宋"/>
          <w:sz w:val="32"/>
          <w:szCs w:val="32"/>
          <w:u w:val="none"/>
        </w:rPr>
        <w:t>）加强安全风险防控。企业应采取以下措施，保障承租人人身、财产和信息安全：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rPr>
        <w:t>　　</w:t>
      </w:r>
      <w:r>
        <w:rPr>
          <w:rFonts w:hint="eastAsia" w:ascii="仿宋" w:hAnsi="仿宋" w:eastAsia="仿宋" w:cs="仿宋"/>
          <w:sz w:val="32"/>
          <w:szCs w:val="32"/>
          <w:u w:val="none"/>
          <w:lang w:val="en-US"/>
        </w:rPr>
        <w:t>1.</w:t>
      </w:r>
      <w:r>
        <w:rPr>
          <w:rFonts w:hint="eastAsia" w:ascii="仿宋" w:hAnsi="仿宋" w:eastAsia="仿宋" w:cs="仿宋"/>
          <w:sz w:val="32"/>
          <w:szCs w:val="32"/>
          <w:u w:val="none"/>
        </w:rPr>
        <w:t>为承租人购买人身伤害保险，鼓励购买第三者责任险。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rPr>
        <w:t>　　</w:t>
      </w:r>
      <w:r>
        <w:rPr>
          <w:rFonts w:hint="eastAsia" w:ascii="仿宋" w:hAnsi="仿宋" w:eastAsia="仿宋" w:cs="仿宋"/>
          <w:sz w:val="32"/>
          <w:szCs w:val="32"/>
          <w:u w:val="none"/>
          <w:lang w:val="en-US"/>
        </w:rPr>
        <w:t>2.</w:t>
      </w:r>
      <w:r>
        <w:rPr>
          <w:rFonts w:hint="eastAsia" w:ascii="仿宋" w:hAnsi="仿宋" w:eastAsia="仿宋" w:cs="仿宋"/>
          <w:sz w:val="32"/>
          <w:szCs w:val="32"/>
          <w:u w:val="none"/>
        </w:rPr>
        <w:t>经营者原则上不收取用户押金，确有必要收取的，应当提供经营者专用存管账户和用户个人银行结算账户两种资金存管方式，供用户选择。用户押金归用户所有，经营者不得挪用。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rPr>
        <w:t>　　鼓励经营者采用服务结束后直接收取费用的方式提供服务。经营者采用收取预付资金方式提供服务的，预付资金的收取、存管、使用和退还应当符合国家相关规定。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rPr>
        <w:t>　　</w:t>
      </w:r>
      <w:r>
        <w:rPr>
          <w:rFonts w:hint="eastAsia" w:ascii="仿宋" w:hAnsi="仿宋" w:eastAsia="仿宋" w:cs="仿宋"/>
          <w:sz w:val="32"/>
          <w:szCs w:val="32"/>
          <w:u w:val="none"/>
          <w:lang w:val="en-US"/>
        </w:rPr>
        <w:t>3.</w:t>
      </w:r>
      <w:r>
        <w:rPr>
          <w:rFonts w:hint="eastAsia" w:ascii="仿宋" w:hAnsi="仿宋" w:eastAsia="仿宋" w:cs="仿宋"/>
          <w:sz w:val="32"/>
          <w:szCs w:val="32"/>
          <w:u w:val="none"/>
        </w:rPr>
        <w:t>遵守国家网络和信息安全有关规定，建立网络安全管理制度，完善网络安全防范措施，依法合规采集、使用和保护个人信息，强化系统数据安全保护。采集承租人身份等信息不得超越提供互联网租赁自行车服务所必需的范围、不得利用其服务平台发布法律法规禁止发布的信息，不得为企业、个人及其他团体、组织发布违法有害信息提供便利。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rPr>
        <w:t>　　（</w:t>
      </w:r>
      <w:r>
        <w:rPr>
          <w:rFonts w:hint="eastAsia" w:ascii="仿宋" w:hAnsi="仿宋" w:eastAsia="仿宋" w:cs="仿宋"/>
          <w:sz w:val="32"/>
          <w:szCs w:val="32"/>
          <w:u w:val="none"/>
          <w:lang w:val="en-US" w:eastAsia="zh-CN"/>
        </w:rPr>
        <w:t>六</w:t>
      </w:r>
      <w:r>
        <w:rPr>
          <w:rFonts w:hint="eastAsia" w:ascii="仿宋" w:hAnsi="仿宋" w:eastAsia="仿宋" w:cs="仿宋"/>
          <w:sz w:val="32"/>
          <w:szCs w:val="32"/>
          <w:u w:val="none"/>
        </w:rPr>
        <w:t>）规范市场退出机制。企业需终止在本市经营互联网租赁自行车服务的，应提前向社会公告，妥善处理押金、预付金并依法依规退还预付金、押金等有关款项，完成所有投放车辆的回收等工作。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rPr>
        <w:t>　　</w:t>
      </w:r>
      <w:r>
        <w:rPr>
          <w:rFonts w:hint="eastAsia" w:ascii="黑体" w:hAnsi="黑体" w:eastAsia="黑体" w:cs="黑体"/>
          <w:sz w:val="32"/>
          <w:szCs w:val="32"/>
          <w:u w:val="none"/>
          <w:lang w:val="en-US" w:eastAsia="zh-CN"/>
        </w:rPr>
        <w:t>四</w:t>
      </w:r>
      <w:r>
        <w:rPr>
          <w:rFonts w:hint="eastAsia" w:ascii="黑体" w:hAnsi="黑体" w:eastAsia="黑体" w:cs="黑体"/>
          <w:sz w:val="32"/>
          <w:szCs w:val="32"/>
          <w:u w:val="none"/>
        </w:rPr>
        <w:t>、加强行业管理</w:t>
      </w:r>
      <w:r>
        <w:rPr>
          <w:rFonts w:hint="eastAsia" w:ascii="仿宋" w:hAnsi="仿宋" w:eastAsia="仿宋" w:cs="仿宋"/>
          <w:sz w:val="32"/>
          <w:szCs w:val="32"/>
          <w:u w:val="none"/>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rPr>
        <w:t>　</w:t>
      </w:r>
      <w:r>
        <w:rPr>
          <w:rFonts w:hint="eastAsia" w:ascii="楷体_GB2312" w:hAnsi="楷体_GB2312" w:eastAsia="楷体_GB2312" w:cs="楷体_GB2312"/>
          <w:sz w:val="32"/>
          <w:szCs w:val="32"/>
          <w:u w:val="none"/>
        </w:rPr>
        <w:t>　（</w:t>
      </w:r>
      <w:r>
        <w:rPr>
          <w:rFonts w:hint="eastAsia" w:ascii="楷体_GB2312" w:hAnsi="楷体_GB2312" w:eastAsia="楷体_GB2312" w:cs="楷体_GB2312"/>
          <w:sz w:val="32"/>
          <w:szCs w:val="32"/>
          <w:u w:val="none"/>
          <w:lang w:val="en-US" w:eastAsia="zh-CN"/>
        </w:rPr>
        <w:t>一</w:t>
      </w:r>
      <w:r>
        <w:rPr>
          <w:rFonts w:hint="eastAsia" w:ascii="楷体_GB2312" w:hAnsi="楷体_GB2312" w:eastAsia="楷体_GB2312" w:cs="楷体_GB2312"/>
          <w:sz w:val="32"/>
          <w:szCs w:val="32"/>
          <w:u w:val="none"/>
        </w:rPr>
        <w:t>）推进</w:t>
      </w:r>
      <w:r>
        <w:rPr>
          <w:rFonts w:hint="eastAsia" w:ascii="楷体_GB2312" w:hAnsi="楷体_GB2312" w:eastAsia="楷体_GB2312" w:cs="楷体_GB2312"/>
          <w:sz w:val="32"/>
          <w:szCs w:val="32"/>
          <w:u w:val="none"/>
          <w:lang w:val="en-US" w:eastAsia="zh-CN"/>
        </w:rPr>
        <w:t>慢行系统</w:t>
      </w:r>
      <w:r>
        <w:rPr>
          <w:rFonts w:hint="eastAsia" w:ascii="楷体_GB2312" w:hAnsi="楷体_GB2312" w:eastAsia="楷体_GB2312" w:cs="楷体_GB2312"/>
          <w:sz w:val="32"/>
          <w:szCs w:val="32"/>
          <w:u w:val="none"/>
        </w:rPr>
        <w:t>建设。</w:t>
      </w:r>
      <w:r>
        <w:rPr>
          <w:rFonts w:hint="eastAsia" w:ascii="仿宋" w:hAnsi="仿宋" w:eastAsia="仿宋" w:cs="仿宋"/>
          <w:sz w:val="32"/>
          <w:szCs w:val="32"/>
          <w:u w:val="none"/>
        </w:rPr>
        <w:t>加快城市慢行交通系统规划建设，提高自行车道的网络化和通达性。优化自行车交通组织，完善道路标志标线，纠正占用非机动车道等违法行为，保障自行车通行条件。加快互联网租赁自行车停车设施规划建设，推进在城市重要商业区域、公共交通站点、交通枢纽、居住区、旅游景区周边等场所配套施划停车点位，规范互联网租赁自行车停放。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640"/>
        <w:jc w:val="both"/>
        <w:textAlignment w:val="auto"/>
        <w:outlineLvl w:val="9"/>
        <w:rPr>
          <w:rFonts w:hint="eastAsia" w:ascii="仿宋" w:hAnsi="仿宋" w:eastAsia="仿宋" w:cs="仿宋"/>
          <w:b w:val="0"/>
          <w:bCs w:val="0"/>
          <w:color w:val="000000"/>
          <w:sz w:val="32"/>
          <w:szCs w:val="32"/>
          <w:u w:val="none"/>
        </w:rPr>
      </w:pPr>
      <w:r>
        <w:rPr>
          <w:rFonts w:hint="eastAsia" w:ascii="楷体_GB2312" w:hAnsi="楷体_GB2312" w:eastAsia="楷体_GB2312" w:cs="楷体_GB2312"/>
          <w:sz w:val="32"/>
          <w:szCs w:val="32"/>
          <w:u w:val="none"/>
        </w:rPr>
        <w:t>（</w:t>
      </w:r>
      <w:r>
        <w:rPr>
          <w:rFonts w:hint="eastAsia" w:ascii="楷体_GB2312" w:hAnsi="楷体_GB2312" w:eastAsia="楷体_GB2312" w:cs="楷体_GB2312"/>
          <w:sz w:val="32"/>
          <w:szCs w:val="32"/>
          <w:u w:val="none"/>
          <w:lang w:val="en-US" w:eastAsia="zh-CN"/>
        </w:rPr>
        <w:t>二</w:t>
      </w:r>
      <w:r>
        <w:rPr>
          <w:rFonts w:hint="eastAsia" w:ascii="楷体_GB2312" w:hAnsi="楷体_GB2312" w:eastAsia="楷体_GB2312" w:cs="楷体_GB2312"/>
          <w:sz w:val="32"/>
          <w:szCs w:val="32"/>
          <w:u w:val="none"/>
        </w:rPr>
        <w:t>）强化停放秩序管理。</w:t>
      </w:r>
      <w:r>
        <w:rPr>
          <w:rFonts w:hint="eastAsia" w:ascii="仿宋" w:hAnsi="仿宋" w:eastAsia="仿宋" w:cs="仿宋"/>
          <w:b w:val="0"/>
          <w:bCs w:val="0"/>
          <w:color w:val="000000"/>
          <w:sz w:val="32"/>
          <w:szCs w:val="32"/>
          <w:u w:val="none"/>
        </w:rPr>
        <w:t>互联网租赁自行车经营企业是车辆停放秩序管理的责任主体，要加强对本企业投放车辆的停车管理，规范互联网租赁自行车用户的使用和停车行为</w:t>
      </w:r>
      <w:r>
        <w:rPr>
          <w:rFonts w:hint="eastAsia" w:ascii="仿宋" w:hAnsi="仿宋" w:eastAsia="仿宋" w:cs="仿宋"/>
          <w:b w:val="0"/>
          <w:bCs w:val="0"/>
          <w:color w:val="000000"/>
          <w:sz w:val="32"/>
          <w:szCs w:val="32"/>
          <w:u w:val="none"/>
          <w:lang w:eastAsia="zh-CN"/>
        </w:rPr>
        <w:t>，</w:t>
      </w:r>
      <w:r>
        <w:rPr>
          <w:rFonts w:hint="eastAsia" w:ascii="仿宋" w:hAnsi="仿宋" w:eastAsia="仿宋" w:cs="仿宋"/>
          <w:b w:val="0"/>
          <w:bCs w:val="0"/>
          <w:color w:val="000000"/>
          <w:sz w:val="32"/>
          <w:szCs w:val="32"/>
          <w:u w:val="none"/>
        </w:rPr>
        <w:t>及时清理各类影响正常环境和交通秩序的乱停放车辆。互联网租赁自行车企业</w:t>
      </w:r>
      <w:r>
        <w:rPr>
          <w:rFonts w:hint="eastAsia" w:ascii="仿宋" w:hAnsi="仿宋" w:eastAsia="仿宋" w:cs="仿宋"/>
          <w:b w:val="0"/>
          <w:bCs w:val="0"/>
          <w:color w:val="000000"/>
          <w:sz w:val="32"/>
          <w:szCs w:val="32"/>
          <w:u w:val="none"/>
          <w:lang w:val="en-US" w:eastAsia="zh-CN"/>
        </w:rPr>
        <w:t>应</w:t>
      </w:r>
      <w:r>
        <w:rPr>
          <w:rFonts w:hint="eastAsia" w:ascii="仿宋" w:hAnsi="仿宋" w:eastAsia="仿宋" w:cs="仿宋"/>
          <w:b w:val="0"/>
          <w:bCs w:val="0"/>
          <w:color w:val="000000"/>
          <w:sz w:val="32"/>
          <w:szCs w:val="32"/>
          <w:u w:val="none"/>
        </w:rPr>
        <w:t>使用</w:t>
      </w:r>
      <w:r>
        <w:rPr>
          <w:rFonts w:hint="eastAsia" w:ascii="仿宋" w:hAnsi="仿宋" w:eastAsia="仿宋" w:cs="仿宋"/>
          <w:b w:val="0"/>
          <w:bCs w:val="0"/>
          <w:color w:val="000000"/>
          <w:sz w:val="32"/>
          <w:szCs w:val="32"/>
          <w:u w:val="none"/>
          <w:lang w:eastAsia="zh-CN"/>
        </w:rPr>
        <w:t>“</w:t>
      </w:r>
      <w:r>
        <w:rPr>
          <w:rFonts w:hint="eastAsia" w:ascii="仿宋" w:hAnsi="仿宋" w:eastAsia="仿宋" w:cs="仿宋"/>
          <w:b w:val="0"/>
          <w:bCs w:val="0"/>
          <w:color w:val="000000"/>
          <w:sz w:val="32"/>
          <w:szCs w:val="32"/>
          <w:u w:val="none"/>
        </w:rPr>
        <w:t>电子围栏</w:t>
      </w:r>
      <w:r>
        <w:rPr>
          <w:rFonts w:hint="eastAsia" w:ascii="仿宋" w:hAnsi="仿宋" w:eastAsia="仿宋" w:cs="仿宋"/>
          <w:b w:val="0"/>
          <w:bCs w:val="0"/>
          <w:color w:val="000000"/>
          <w:sz w:val="32"/>
          <w:szCs w:val="32"/>
          <w:u w:val="none"/>
          <w:lang w:eastAsia="zh-CN"/>
        </w:rPr>
        <w:t>”</w:t>
      </w:r>
      <w:r>
        <w:rPr>
          <w:rFonts w:hint="eastAsia" w:ascii="仿宋" w:hAnsi="仿宋" w:eastAsia="仿宋" w:cs="仿宋"/>
          <w:b w:val="0"/>
          <w:bCs w:val="0"/>
          <w:color w:val="000000"/>
          <w:sz w:val="32"/>
          <w:szCs w:val="32"/>
          <w:u w:val="none"/>
          <w:lang w:val="en-US" w:eastAsia="zh-CN"/>
        </w:rPr>
        <w:t>等</w:t>
      </w:r>
      <w:r>
        <w:rPr>
          <w:rFonts w:hint="eastAsia" w:ascii="仿宋" w:hAnsi="仿宋" w:eastAsia="仿宋" w:cs="仿宋"/>
          <w:b w:val="0"/>
          <w:bCs w:val="0"/>
          <w:color w:val="000000"/>
          <w:sz w:val="32"/>
          <w:szCs w:val="32"/>
          <w:u w:val="none"/>
        </w:rPr>
        <w:t>技术规范停车秩序。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640"/>
        <w:jc w:val="both"/>
        <w:textAlignment w:val="auto"/>
        <w:outlineLvl w:val="9"/>
        <w:rPr>
          <w:rFonts w:hint="eastAsia" w:ascii="仿宋" w:hAnsi="仿宋" w:eastAsia="仿宋" w:cs="仿宋"/>
          <w:sz w:val="32"/>
          <w:szCs w:val="32"/>
          <w:u w:val="none"/>
        </w:rPr>
      </w:pPr>
      <w:r>
        <w:rPr>
          <w:rFonts w:hint="eastAsia" w:ascii="楷体_GB2312" w:hAnsi="楷体_GB2312" w:eastAsia="楷体_GB2312" w:cs="楷体_GB2312"/>
          <w:sz w:val="32"/>
          <w:szCs w:val="32"/>
          <w:u w:val="none"/>
          <w:lang w:val="en-US" w:eastAsia="zh-CN"/>
        </w:rPr>
        <w:t>（三</w:t>
      </w:r>
      <w:r>
        <w:rPr>
          <w:rFonts w:hint="eastAsia" w:ascii="楷体_GB2312" w:hAnsi="楷体_GB2312" w:eastAsia="楷体_GB2312" w:cs="楷体_GB2312"/>
          <w:sz w:val="32"/>
          <w:szCs w:val="32"/>
          <w:u w:val="none"/>
        </w:rPr>
        <w:t>）加强信用管理约束。</w:t>
      </w:r>
      <w:r>
        <w:rPr>
          <w:rFonts w:hint="eastAsia" w:ascii="仿宋" w:hAnsi="仿宋" w:eastAsia="仿宋" w:cs="仿宋"/>
          <w:sz w:val="32"/>
          <w:szCs w:val="32"/>
          <w:u w:val="none"/>
        </w:rPr>
        <w:t>加快互联网租赁自行车服务领域信用监管，建立互联网租赁自行车行业信用信息采集和使用标准，建立企业和用户信用基础数据库，对企业和用户不文明行为和违法违规行为，按程序纳入公共信用信息平台信用档案，并依法在“信用</w:t>
      </w:r>
      <w:r>
        <w:rPr>
          <w:rFonts w:hint="eastAsia" w:ascii="仿宋" w:hAnsi="仿宋" w:eastAsia="仿宋" w:cs="仿宋"/>
          <w:sz w:val="32"/>
          <w:szCs w:val="32"/>
          <w:u w:val="none"/>
          <w:lang w:val="en-US" w:eastAsia="zh-CN"/>
        </w:rPr>
        <w:t>淮北</w:t>
      </w:r>
      <w:r>
        <w:rPr>
          <w:rFonts w:hint="eastAsia" w:ascii="仿宋" w:hAnsi="仿宋" w:eastAsia="仿宋" w:cs="仿宋"/>
          <w:sz w:val="32"/>
          <w:szCs w:val="32"/>
          <w:u w:val="none"/>
        </w:rPr>
        <w:t>”网站公布。 </w:t>
      </w:r>
    </w:p>
    <w:p>
      <w:pPr>
        <w:pStyle w:val="2"/>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640"/>
        <w:jc w:val="both"/>
        <w:textAlignment w:val="auto"/>
        <w:outlineLvl w:val="9"/>
        <w:rPr>
          <w:rFonts w:hint="eastAsia" w:ascii="仿宋" w:hAnsi="仿宋" w:eastAsia="仿宋" w:cs="仿宋"/>
          <w:sz w:val="32"/>
          <w:szCs w:val="32"/>
          <w:u w:val="none"/>
        </w:rPr>
      </w:pPr>
      <w:r>
        <w:rPr>
          <w:rFonts w:hint="eastAsia" w:ascii="楷体_GB2312" w:hAnsi="楷体_GB2312" w:eastAsia="楷体_GB2312" w:cs="楷体_GB2312"/>
          <w:sz w:val="32"/>
          <w:szCs w:val="32"/>
          <w:u w:val="none"/>
        </w:rPr>
        <w:t>引导用户文明用车。</w:t>
      </w:r>
      <w:r>
        <w:rPr>
          <w:rFonts w:hint="eastAsia" w:ascii="仿宋" w:hAnsi="仿宋" w:eastAsia="仿宋" w:cs="仿宋"/>
          <w:sz w:val="32"/>
          <w:szCs w:val="32"/>
          <w:u w:val="none"/>
        </w:rPr>
        <w:t>互联网租赁自行车用户应当自觉遵守道路交通安全、城市管理的相关法律法规及服务协议约定，做到文明用车、安全骑行、规范停放</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加强对互联网租赁自行车使用规范和安全文明骑行的宣传教育，通过互联网租赁自行车平台推送、公益广告、主题教育、志愿者活动等多种方式，引导用户增强诚信和文明意识、遵守交通法规、遵守社会公德。</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黑体" w:hAnsi="黑体" w:eastAsia="黑体" w:cs="黑体"/>
          <w:sz w:val="32"/>
          <w:szCs w:val="32"/>
          <w:u w:val="none"/>
        </w:rPr>
      </w:pPr>
      <w:r>
        <w:rPr>
          <w:rFonts w:hint="eastAsia" w:ascii="黑体" w:hAnsi="黑体" w:eastAsia="黑体" w:cs="黑体"/>
          <w:sz w:val="32"/>
          <w:szCs w:val="32"/>
          <w:u w:val="none"/>
          <w:lang w:val="en-US" w:eastAsia="zh-CN"/>
        </w:rPr>
        <w:t>五、</w:t>
      </w:r>
      <w:r>
        <w:rPr>
          <w:rFonts w:hint="eastAsia" w:ascii="黑体" w:hAnsi="黑体" w:eastAsia="黑体" w:cs="黑体"/>
          <w:sz w:val="32"/>
          <w:szCs w:val="32"/>
          <w:u w:val="none"/>
        </w:rPr>
        <w:t>明确部门职责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rPr>
        <w:t>　　市政府各有关部门要按照各自职责，</w:t>
      </w:r>
      <w:r>
        <w:rPr>
          <w:rFonts w:hint="eastAsia" w:ascii="仿宋" w:hAnsi="仿宋" w:eastAsia="仿宋" w:cs="仿宋"/>
          <w:sz w:val="32"/>
          <w:szCs w:val="32"/>
          <w:u w:val="none"/>
          <w:lang w:val="en-US" w:eastAsia="zh-CN"/>
        </w:rPr>
        <w:t>出台相应制度、办法，</w:t>
      </w:r>
      <w:r>
        <w:rPr>
          <w:rFonts w:hint="eastAsia" w:ascii="仿宋" w:hAnsi="仿宋" w:eastAsia="仿宋" w:cs="仿宋"/>
          <w:sz w:val="32"/>
          <w:szCs w:val="32"/>
          <w:u w:val="none"/>
        </w:rPr>
        <w:t>加强协调配合，建立联动机制，依法加强对互联网租赁自行车经营活动指导、监督和管理。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rPr>
        <w:t>　　交通运输</w:t>
      </w:r>
      <w:r>
        <w:rPr>
          <w:rFonts w:hint="eastAsia" w:ascii="仿宋" w:hAnsi="仿宋" w:eastAsia="仿宋" w:cs="仿宋"/>
          <w:sz w:val="32"/>
          <w:szCs w:val="32"/>
          <w:u w:val="none"/>
          <w:lang w:val="en-US" w:eastAsia="zh-CN"/>
        </w:rPr>
        <w:t>管理部门：</w:t>
      </w:r>
      <w:r>
        <w:rPr>
          <w:rFonts w:hint="eastAsia" w:ascii="仿宋" w:hAnsi="仿宋" w:eastAsia="仿宋" w:cs="仿宋"/>
          <w:sz w:val="32"/>
          <w:szCs w:val="32"/>
          <w:u w:val="none"/>
        </w:rPr>
        <w:t>负责互联网租赁自行车发展政策制定和统筹协调。 </w:t>
      </w:r>
    </w:p>
    <w:p>
      <w:pPr>
        <w:pStyle w:val="2"/>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0" w:leftChars="0" w:right="0" w:rightChars="0" w:firstLine="420" w:firstLineChars="0"/>
        <w:jc w:val="left"/>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none"/>
        </w:rPr>
        <w:t>公安</w:t>
      </w:r>
      <w:r>
        <w:rPr>
          <w:rFonts w:hint="eastAsia" w:ascii="仿宋" w:hAnsi="仿宋" w:eastAsia="仿宋" w:cs="仿宋"/>
          <w:sz w:val="32"/>
          <w:szCs w:val="32"/>
          <w:u w:val="none"/>
          <w:lang w:val="en-US" w:eastAsia="zh-CN"/>
        </w:rPr>
        <w:t>部门：</w:t>
      </w:r>
      <w:r>
        <w:rPr>
          <w:rFonts w:hint="eastAsia" w:ascii="仿宋" w:hAnsi="仿宋" w:eastAsia="仿宋" w:cs="仿宋"/>
          <w:sz w:val="32"/>
          <w:szCs w:val="32"/>
          <w:u w:val="none"/>
        </w:rPr>
        <w:t>负责互联网租赁自行车车行道交通安全和通行秩序管理；负责查处和纠正共享自行车骑行者交通违法行为，维护交通秩序。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640"/>
        <w:jc w:val="both"/>
        <w:textAlignment w:val="auto"/>
        <w:outlineLvl w:val="9"/>
        <w:rPr>
          <w:rFonts w:hint="eastAsia" w:ascii="仿宋" w:hAnsi="仿宋" w:eastAsia="仿宋" w:cs="仿宋"/>
          <w:sz w:val="32"/>
          <w:szCs w:val="32"/>
          <w:u w:val="none"/>
        </w:rPr>
      </w:pPr>
      <w:r>
        <w:rPr>
          <w:rFonts w:hint="eastAsia" w:ascii="华文仿宋" w:hAnsi="华文仿宋" w:eastAsia="华文仿宋" w:cs="华文仿宋"/>
          <w:sz w:val="32"/>
          <w:szCs w:val="32"/>
          <w:u w:val="none"/>
          <w:lang w:val="en-US" w:eastAsia="zh-CN"/>
        </w:rPr>
        <w:t>城市管理部门：负责对企业申请资质审查，择优选择准入企业；</w:t>
      </w:r>
      <w:r>
        <w:rPr>
          <w:rFonts w:hint="eastAsia" w:ascii="仿宋" w:hAnsi="仿宋" w:eastAsia="仿宋" w:cs="仿宋"/>
          <w:sz w:val="32"/>
          <w:szCs w:val="32"/>
          <w:u w:val="none"/>
        </w:rPr>
        <w:t>负责全市互联网租赁自行车停放秩序指导和监督管理，根据需求合理配置互联网租赁自行车投放总量；牵头建立互联网租赁自行车巡查、考核退出机制和违规停举报制度；负责全市互联网租赁自行车基础设施建设；依法查处违法违规停放行为，维护停放秩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640"/>
        <w:jc w:val="both"/>
        <w:textAlignment w:val="auto"/>
        <w:outlineLvl w:val="9"/>
        <w:rPr>
          <w:rFonts w:hint="eastAsia" w:ascii="仿宋" w:hAnsi="仿宋" w:eastAsia="仿宋" w:cs="仿宋"/>
          <w:sz w:val="32"/>
          <w:szCs w:val="32"/>
          <w:u w:val="none"/>
          <w:lang w:eastAsia="zh-CN"/>
        </w:rPr>
      </w:pPr>
      <w:r>
        <w:rPr>
          <w:rFonts w:hint="eastAsia" w:ascii="华文仿宋" w:hAnsi="华文仿宋" w:eastAsia="华文仿宋" w:cs="华文仿宋"/>
          <w:sz w:val="32"/>
          <w:szCs w:val="32"/>
          <w:u w:val="none"/>
        </w:rPr>
        <w:t>住建</w:t>
      </w:r>
      <w:r>
        <w:rPr>
          <w:rFonts w:hint="eastAsia" w:ascii="华文仿宋" w:hAnsi="华文仿宋" w:eastAsia="华文仿宋" w:cs="华文仿宋"/>
          <w:sz w:val="32"/>
          <w:szCs w:val="32"/>
          <w:u w:val="none"/>
          <w:lang w:val="en-US" w:eastAsia="zh-CN"/>
        </w:rPr>
        <w:t>部门：</w:t>
      </w:r>
      <w:r>
        <w:rPr>
          <w:rFonts w:hint="eastAsia" w:ascii="仿宋" w:hAnsi="仿宋" w:eastAsia="仿宋" w:cs="仿宋"/>
          <w:sz w:val="32"/>
          <w:szCs w:val="32"/>
          <w:u w:val="none"/>
        </w:rPr>
        <w:t>负责协调有关部门编制中心城市慢行交通专项规划，完善绿色出行体系规划，并纳入城市综合交通体系规划，与城市公共交通规划相衔接</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指导、督促互联网租赁自行车停车设施建设</w:t>
      </w:r>
      <w:r>
        <w:rPr>
          <w:rFonts w:hint="eastAsia" w:ascii="仿宋" w:hAnsi="仿宋" w:eastAsia="仿宋" w:cs="仿宋"/>
          <w:sz w:val="32"/>
          <w:szCs w:val="32"/>
          <w:u w:val="none"/>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640"/>
        <w:jc w:val="both"/>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rPr>
        <w:t>市场监管</w:t>
      </w:r>
      <w:r>
        <w:rPr>
          <w:rFonts w:hint="eastAsia" w:ascii="仿宋" w:hAnsi="仿宋" w:eastAsia="仿宋" w:cs="仿宋"/>
          <w:sz w:val="32"/>
          <w:szCs w:val="32"/>
          <w:u w:val="none"/>
          <w:lang w:val="en-US" w:eastAsia="zh-CN"/>
        </w:rPr>
        <w:t>部门</w:t>
      </w:r>
      <w:r>
        <w:rPr>
          <w:rFonts w:hint="eastAsia" w:ascii="仿宋" w:hAnsi="仿宋" w:eastAsia="仿宋" w:cs="仿宋"/>
          <w:sz w:val="32"/>
          <w:szCs w:val="32"/>
          <w:u w:val="none"/>
          <w:lang w:val="en-US"/>
        </w:rPr>
        <w:t>:负责依法办理企业营业执照；负责查处无照经营、超范围经营的企业；指导消费者权益保护工作。</w:t>
      </w:r>
      <w:r>
        <w:rPr>
          <w:rFonts w:hint="eastAsia" w:ascii="仿宋" w:hAnsi="仿宋" w:eastAsia="仿宋" w:cs="仿宋"/>
          <w:sz w:val="32"/>
          <w:szCs w:val="32"/>
          <w:u w:val="none"/>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64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网信部门：负责会同公安部门加强互联网租赁自行车市场的网络安全监管，保障信息安全。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640"/>
        <w:jc w:val="both"/>
        <w:textAlignment w:val="auto"/>
        <w:outlineLvl w:val="9"/>
        <w:rPr>
          <w:rFonts w:hint="eastAsia" w:ascii="华文仿宋" w:hAnsi="华文仿宋" w:eastAsia="华文仿宋" w:cs="华文仿宋"/>
          <w:sz w:val="32"/>
          <w:szCs w:val="32"/>
          <w:u w:val="none"/>
          <w:lang w:val="en-US" w:eastAsia="zh-CN"/>
        </w:rPr>
      </w:pPr>
      <w:r>
        <w:rPr>
          <w:rFonts w:hint="eastAsia" w:ascii="仿宋" w:hAnsi="仿宋" w:eastAsia="仿宋" w:cs="仿宋"/>
          <w:sz w:val="32"/>
          <w:szCs w:val="32"/>
          <w:u w:val="none"/>
          <w:lang w:val="en-US" w:eastAsia="zh-CN"/>
        </w:rPr>
        <w:t>发展改革、税务、经信、宣传、文化旅游</w:t>
      </w:r>
      <w:r>
        <w:rPr>
          <w:rFonts w:hint="eastAsia" w:ascii="仿宋" w:hAnsi="仿宋" w:eastAsia="仿宋" w:cs="仿宋"/>
          <w:sz w:val="32"/>
          <w:szCs w:val="32"/>
          <w:u w:val="none"/>
        </w:rPr>
        <w:t>等部门</w:t>
      </w:r>
      <w:r>
        <w:rPr>
          <w:rFonts w:hint="eastAsia" w:ascii="仿宋" w:hAnsi="仿宋" w:eastAsia="仿宋" w:cs="仿宋"/>
          <w:sz w:val="32"/>
          <w:szCs w:val="32"/>
          <w:u w:val="none"/>
          <w:lang w:val="en-US" w:eastAsia="zh-CN"/>
        </w:rPr>
        <w:t>和中国人民银行淮北支行</w:t>
      </w:r>
      <w:r>
        <w:rPr>
          <w:rFonts w:hint="eastAsia" w:ascii="仿宋" w:hAnsi="仿宋" w:eastAsia="仿宋" w:cs="仿宋"/>
          <w:sz w:val="32"/>
          <w:szCs w:val="32"/>
          <w:u w:val="none"/>
        </w:rPr>
        <w:t>按照各自职责，</w:t>
      </w:r>
      <w:r>
        <w:rPr>
          <w:rFonts w:hint="eastAsia" w:ascii="仿宋" w:hAnsi="仿宋" w:eastAsia="仿宋" w:cs="仿宋"/>
          <w:sz w:val="32"/>
          <w:szCs w:val="32"/>
          <w:u w:val="none"/>
          <w:lang w:val="en-US" w:eastAsia="zh-CN"/>
        </w:rPr>
        <w:t>共同做好对互联网租赁自行车的管理和服</w:t>
      </w:r>
      <w:r>
        <w:rPr>
          <w:rFonts w:hint="eastAsia" w:ascii="华文仿宋" w:hAnsi="华文仿宋" w:eastAsia="华文仿宋" w:cs="华文仿宋"/>
          <w:sz w:val="32"/>
          <w:szCs w:val="32"/>
          <w:u w:val="none"/>
          <w:lang w:val="en-US" w:eastAsia="zh-CN"/>
        </w:rPr>
        <w:t>务工作。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outlineLvl w:val="9"/>
        <w:rPr>
          <w:rFonts w:hint="eastAsia" w:ascii="华文仿宋" w:hAnsi="华文仿宋" w:eastAsia="华文仿宋" w:cs="华文仿宋"/>
          <w:sz w:val="32"/>
          <w:szCs w:val="32"/>
          <w:u w:val="none"/>
        </w:rPr>
      </w:pPr>
      <w:r>
        <w:rPr>
          <w:rFonts w:hint="eastAsia" w:ascii="仿宋" w:hAnsi="仿宋" w:eastAsia="仿宋" w:cs="仿宋"/>
          <w:sz w:val="32"/>
          <w:szCs w:val="32"/>
          <w:u w:val="none"/>
        </w:rPr>
        <w:t>　　本意见适用于</w:t>
      </w:r>
      <w:r>
        <w:rPr>
          <w:rFonts w:hint="eastAsia" w:ascii="仿宋" w:hAnsi="仿宋" w:eastAsia="仿宋" w:cs="仿宋"/>
          <w:sz w:val="32"/>
          <w:szCs w:val="32"/>
          <w:u w:val="none"/>
          <w:lang w:val="en-US" w:eastAsia="zh-CN"/>
        </w:rPr>
        <w:t>淮北</w:t>
      </w:r>
      <w:r>
        <w:rPr>
          <w:rFonts w:hint="eastAsia" w:ascii="仿宋" w:hAnsi="仿宋" w:eastAsia="仿宋" w:cs="仿宋"/>
          <w:sz w:val="32"/>
          <w:szCs w:val="32"/>
          <w:u w:val="none"/>
        </w:rPr>
        <w:t>市区区域范围。本意见自发布之日起施行，县（</w:t>
      </w:r>
      <w:r>
        <w:rPr>
          <w:rFonts w:hint="eastAsia" w:ascii="仿宋" w:hAnsi="仿宋" w:eastAsia="仿宋" w:cs="仿宋"/>
          <w:sz w:val="32"/>
          <w:szCs w:val="32"/>
          <w:u w:val="none"/>
          <w:lang w:val="en-US" w:eastAsia="zh-CN"/>
        </w:rPr>
        <w:t>区</w:t>
      </w:r>
      <w:r>
        <w:rPr>
          <w:rFonts w:hint="eastAsia" w:ascii="仿宋" w:hAnsi="仿宋" w:eastAsia="仿宋" w:cs="仿宋"/>
          <w:sz w:val="32"/>
          <w:szCs w:val="32"/>
          <w:u w:val="none"/>
        </w:rPr>
        <w:t>）可参照执行。 </w:t>
      </w:r>
    </w:p>
    <w:p>
      <w:pPr>
        <w:keepNext w:val="0"/>
        <w:keepLines w:val="0"/>
        <w:pageBreakBefore w:val="0"/>
        <w:kinsoku/>
        <w:wordWrap/>
        <w:overflowPunct/>
        <w:topLinePunct w:val="0"/>
        <w:autoSpaceDE/>
        <w:autoSpaceDN/>
        <w:bidi w:val="0"/>
        <w:snapToGrid/>
        <w:spacing w:line="56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
      <w:pPr>
        <w:pStyle w:val="2"/>
        <w:keepNext w:val="0"/>
        <w:keepLines w:val="0"/>
        <w:pageBreakBefore w:val="0"/>
        <w:widowControl/>
        <w:suppressLineNumbers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华文仿宋" w:hAnsi="华文仿宋" w:eastAsia="华文仿宋" w:cs="华文仿宋"/>
          <w:sz w:val="32"/>
          <w:szCs w:val="32"/>
          <w:u w:val="none"/>
        </w:rPr>
      </w:pPr>
    </w:p>
    <w:p>
      <w:pPr>
        <w:rPr>
          <w:rFonts w:hint="eastAsia" w:ascii="仿宋" w:hAnsi="仿宋" w:eastAsia="仿宋" w:cs="仿宋"/>
          <w:sz w:val="32"/>
          <w:szCs w:val="32"/>
          <w:lang w:val="en-US" w:eastAsia="zh-CN"/>
        </w:rPr>
      </w:pPr>
    </w:p>
    <w:sectPr>
      <w:pgSz w:w="11906" w:h="16838"/>
      <w:pgMar w:top="1440" w:right="1474"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E9F11"/>
    <w:multiLevelType w:val="singleLevel"/>
    <w:tmpl w:val="5F8E9F11"/>
    <w:lvl w:ilvl="0" w:tentative="0">
      <w:start w:val="1"/>
      <w:numFmt w:val="chineseCounting"/>
      <w:suff w:val="nothing"/>
      <w:lvlText w:val="%1、"/>
      <w:lvlJc w:val="left"/>
    </w:lvl>
  </w:abstractNum>
  <w:abstractNum w:abstractNumId="1">
    <w:nsid w:val="5F90D205"/>
    <w:multiLevelType w:val="singleLevel"/>
    <w:tmpl w:val="5F90D205"/>
    <w:lvl w:ilvl="0" w:tentative="0">
      <w:start w:val="1"/>
      <w:numFmt w:val="chineseCounting"/>
      <w:suff w:val="nothing"/>
      <w:lvlText w:val="（%1）"/>
      <w:lvlJc w:val="left"/>
    </w:lvl>
  </w:abstractNum>
  <w:abstractNum w:abstractNumId="2">
    <w:nsid w:val="5F913F19"/>
    <w:multiLevelType w:val="singleLevel"/>
    <w:tmpl w:val="5F913F19"/>
    <w:lvl w:ilvl="0" w:tentative="0">
      <w:start w:val="1"/>
      <w:numFmt w:val="chineseCounting"/>
      <w:suff w:val="nothing"/>
      <w:lvlText w:val="（%1）"/>
      <w:lvlJc w:val="left"/>
    </w:lvl>
  </w:abstractNum>
  <w:abstractNum w:abstractNumId="3">
    <w:nsid w:val="5FB32AA9"/>
    <w:multiLevelType w:val="singleLevel"/>
    <w:tmpl w:val="5FB32AA9"/>
    <w:lvl w:ilvl="0" w:tentative="0">
      <w:start w:val="4"/>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787A43"/>
    <w:rsid w:val="6ED74DE8"/>
    <w:rsid w:val="7235060D"/>
    <w:rsid w:val="76230E09"/>
    <w:rsid w:val="786C5A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小梨涡er</cp:lastModifiedBy>
  <cp:lastPrinted>2020-11-19T00:54:00Z</cp:lastPrinted>
  <dcterms:modified xsi:type="dcterms:W3CDTF">2020-11-23T09:40:59Z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